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84003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E84003" w:rsidRPr="00E84003">
              <w:rPr>
                <w:color w:val="000000"/>
                <w:szCs w:val="20"/>
                <w:lang w:val="en-GB"/>
              </w:rPr>
              <w:t xml:space="preserve">in Several Variables </w:t>
            </w:r>
            <w:r w:rsidR="003C1B9A">
              <w:rPr>
                <w:color w:val="000000"/>
                <w:szCs w:val="20"/>
                <w:lang w:val="en-GB"/>
              </w:rPr>
              <w:t>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84003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E84003">
              <w:rPr>
                <w:rStyle w:val="Szvegtrzs2Char"/>
                <w:b w:val="0"/>
                <w:lang w:val="en-GB"/>
              </w:rPr>
              <w:t>3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84003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A67638">
              <w:rPr>
                <w:bCs/>
                <w:lang w:val="en-GB"/>
              </w:rPr>
              <w:t>3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3145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 xml:space="preserve">Analysis </w:t>
            </w:r>
            <w:r w:rsidR="00F3145E">
              <w:rPr>
                <w:b w:val="0"/>
                <w:lang w:val="en-GB"/>
              </w:rPr>
              <w:t>2</w:t>
            </w:r>
            <w:r w:rsidR="0006705D">
              <w:rPr>
                <w:b w:val="0"/>
                <w:lang w:val="en-GB"/>
              </w:rPr>
              <w:t xml:space="preserve">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A67638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5_1016521800"/>
            <w:r w:rsidR="00A67638" w:rsidRPr="004E203A">
              <w:rPr>
                <w:lang w:val="en-GB"/>
              </w:rPr>
              <w:t xml:space="preserve"> </w:t>
            </w:r>
            <w:r w:rsidR="00A67638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A67638" w:rsidRPr="004E203A">
              <w:rPr>
                <w:lang w:val="en-GB"/>
              </w:rPr>
              <w:instrText xml:space="preserve"> FORMCHECKBOX </w:instrText>
            </w:r>
            <w:r w:rsidR="00A67638">
              <w:rPr>
                <w:lang w:val="en-GB"/>
              </w:rPr>
            </w:r>
            <w:r w:rsidR="00A67638">
              <w:rPr>
                <w:lang w:val="en-GB"/>
              </w:rPr>
              <w:fldChar w:fldCharType="separate"/>
            </w:r>
            <w:r w:rsidR="00A67638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 w:rsidR="00A67638" w:rsidRPr="004E203A">
              <w:rPr>
                <w:lang w:val="en-GB"/>
              </w:rPr>
              <w:t xml:space="preserve"> </w:t>
            </w:r>
            <w:r w:rsidR="00A67638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7638" w:rsidRPr="004E203A">
              <w:rPr>
                <w:lang w:val="en-GB"/>
              </w:rPr>
              <w:instrText xml:space="preserve"> FORMCHECKBOX </w:instrText>
            </w:r>
            <w:r w:rsidR="00A67638">
              <w:rPr>
                <w:lang w:val="en-GB"/>
              </w:rPr>
            </w:r>
            <w:r w:rsidR="00A67638">
              <w:rPr>
                <w:lang w:val="en-GB"/>
              </w:rPr>
              <w:fldChar w:fldCharType="separate"/>
            </w:r>
            <w:r w:rsidR="00A67638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 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A4352">
              <w:rPr>
                <w:lang w:val="en-GB"/>
              </w:rPr>
            </w:r>
            <w:r w:rsidR="00FA4352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  <w:bookmarkStart w:id="2" w:name="_GoBack"/>
            <w:bookmarkEnd w:id="2"/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23710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E84003">
              <w:rPr>
                <w:lang w:val="en-GB"/>
              </w:rPr>
              <w:t>Multivariable</w:t>
            </w:r>
            <w:r w:rsidR="00FD3616">
              <w:rPr>
                <w:lang w:val="en-GB"/>
              </w:rPr>
              <w:t xml:space="preserve"> Analysis: concepts of </w:t>
            </w:r>
            <w:r w:rsidR="00E84003" w:rsidRPr="007855C3">
              <w:rPr>
                <w:rFonts w:hAnsi="Calibri"/>
                <w:color w:val="000000"/>
                <w:lang w:val="en-US" w:eastAsia="hu-HU"/>
              </w:rPr>
              <w:t>limits, continuo</w:t>
            </w:r>
            <w:r w:rsidR="00E84003">
              <w:rPr>
                <w:rFonts w:hAnsi="Calibri"/>
                <w:color w:val="000000"/>
                <w:lang w:val="en-US" w:eastAsia="hu-HU"/>
              </w:rPr>
              <w:t xml:space="preserve">us functions, differentiability, </w:t>
            </w:r>
            <w:r w:rsidR="00E84003">
              <w:rPr>
                <w:b/>
                <w:lang w:val="en-GB"/>
              </w:rPr>
              <w:t>multivariable differential and</w:t>
            </w:r>
            <w:r w:rsidR="00175F2B">
              <w:rPr>
                <w:b/>
                <w:lang w:val="en-GB"/>
              </w:rPr>
              <w:t xml:space="preserve"> integral</w:t>
            </w:r>
            <w:r w:rsidR="00E84003">
              <w:rPr>
                <w:b/>
                <w:lang w:val="en-GB"/>
              </w:rPr>
              <w:t xml:space="preserve"> calculus</w:t>
            </w:r>
            <w:r w:rsidR="00F01CC5">
              <w:rPr>
                <w:b/>
                <w:lang w:val="en-GB"/>
              </w:rPr>
              <w:t xml:space="preserve"> and their applications</w:t>
            </w:r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E84003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84003">
              <w:rPr>
                <w:b w:val="0"/>
                <w:lang w:val="en-GB"/>
              </w:rPr>
              <w:t>Multivariable</w:t>
            </w:r>
            <w:r w:rsidR="00EE64C6">
              <w:rPr>
                <w:b w:val="0"/>
                <w:lang w:val="en-GB"/>
              </w:rPr>
              <w:t xml:space="preserve">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84003" w:rsidRPr="00554D87" w:rsidRDefault="00E84003" w:rsidP="00E84003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bCs/>
                <w:sz w:val="20"/>
              </w:rPr>
              <w:t>Metric space, norm space, Euclidean space</w:t>
            </w:r>
            <w:r w:rsidR="00163CEA" w:rsidRPr="00554D87">
              <w:rPr>
                <w:sz w:val="20"/>
              </w:rPr>
              <w:t>.</w:t>
            </w:r>
            <w:r w:rsidR="00175F2B" w:rsidRPr="00554D87">
              <w:rPr>
                <w:sz w:val="20"/>
              </w:rPr>
              <w:t xml:space="preserve"> </w:t>
            </w:r>
            <w:r w:rsidRPr="00554D87">
              <w:rPr>
                <w:sz w:val="20"/>
                <w:lang w:eastAsia="ar-SA"/>
              </w:rPr>
              <w:t xml:space="preserve">(Cauchy-Schwarz inequality, </w:t>
            </w:r>
            <w:proofErr w:type="spellStart"/>
            <w:r w:rsidRPr="00554D87">
              <w:rPr>
                <w:sz w:val="20"/>
                <w:lang w:eastAsia="ar-SA"/>
              </w:rPr>
              <w:t>Minkowski</w:t>
            </w:r>
            <w:proofErr w:type="spellEnd"/>
            <w:r w:rsidRPr="00554D87">
              <w:rPr>
                <w:sz w:val="20"/>
                <w:lang w:eastAsia="ar-SA"/>
              </w:rPr>
              <w:t xml:space="preserve">-inequality with proof), </w:t>
            </w:r>
            <w:proofErr w:type="spellStart"/>
            <w:r w:rsidRPr="00554D87">
              <w:rPr>
                <w:sz w:val="20"/>
                <w:lang w:eastAsia="ar-SA"/>
              </w:rPr>
              <w:t>Banach</w:t>
            </w:r>
            <w:proofErr w:type="spellEnd"/>
            <w:r w:rsidRPr="00554D87">
              <w:rPr>
                <w:sz w:val="20"/>
                <w:lang w:eastAsia="ar-SA"/>
              </w:rPr>
              <w:t xml:space="preserve">-space, Hilbert-space. Examples. Boundedness of sets in metric spaces and in </w:t>
            </w:r>
            <w:r w:rsidRPr="00554D87">
              <w:rPr>
                <w:b/>
                <w:sz w:val="20"/>
                <w:lang w:val="hu-HU" w:eastAsia="en-US"/>
              </w:rPr>
              <w:t>R</w:t>
            </w:r>
            <w:r w:rsidRPr="00554D87">
              <w:rPr>
                <w:b/>
                <w:position w:val="6"/>
                <w:sz w:val="20"/>
                <w:lang w:val="hu-HU" w:eastAsia="en-US"/>
              </w:rPr>
              <w:t>n</w:t>
            </w:r>
            <w:r w:rsidRPr="00554D87">
              <w:rPr>
                <w:sz w:val="20"/>
                <w:lang w:eastAsia="ar-SA"/>
              </w:rPr>
              <w:t>.</w:t>
            </w:r>
          </w:p>
          <w:p w:rsidR="00E84003" w:rsidRPr="00554D87" w:rsidRDefault="00E84003" w:rsidP="00655350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Boundedness and convergence of sequences in </w:t>
            </w:r>
            <w:r w:rsidRPr="00554D87">
              <w:rPr>
                <w:b/>
                <w:sz w:val="20"/>
                <w:lang w:val="hu-HU" w:eastAsia="en-US"/>
              </w:rPr>
              <w:t>R</w:t>
            </w:r>
            <w:r w:rsidRPr="00554D87">
              <w:rPr>
                <w:b/>
                <w:position w:val="6"/>
                <w:sz w:val="20"/>
                <w:lang w:val="hu-HU" w:eastAsia="en-US"/>
              </w:rPr>
              <w:t>k</w:t>
            </w:r>
            <w:r w:rsidR="00655350" w:rsidRPr="00554D87">
              <w:rPr>
                <w:sz w:val="20"/>
                <w:lang w:eastAsia="ar-SA"/>
              </w:rPr>
              <w:t xml:space="preserve">. </w:t>
            </w:r>
            <w:r w:rsidRPr="00554D87">
              <w:rPr>
                <w:sz w:val="20"/>
                <w:lang w:eastAsia="ar-SA"/>
              </w:rPr>
              <w:t xml:space="preserve">Uniqueness theorem, </w:t>
            </w:r>
            <w:r w:rsidR="00655350" w:rsidRPr="00554D87">
              <w:rPr>
                <w:sz w:val="20"/>
                <w:lang w:eastAsia="ar-SA"/>
              </w:rPr>
              <w:t xml:space="preserve">Theorem </w:t>
            </w:r>
            <w:proofErr w:type="spellStart"/>
            <w:r w:rsidR="00655350" w:rsidRPr="00554D87">
              <w:rPr>
                <w:sz w:val="20"/>
                <w:lang w:eastAsia="ar-SA"/>
              </w:rPr>
              <w:t>ont</w:t>
            </w:r>
            <w:proofErr w:type="spellEnd"/>
            <w:r w:rsidR="00655350" w:rsidRPr="00554D87">
              <w:rPr>
                <w:sz w:val="20"/>
                <w:lang w:eastAsia="ar-SA"/>
              </w:rPr>
              <w:t xml:space="preserve"> he connection of convergence and the convergence of components with proof.</w:t>
            </w:r>
            <w:r w:rsidRPr="00554D87">
              <w:rPr>
                <w:sz w:val="20"/>
                <w:lang w:eastAsia="ar-SA"/>
              </w:rPr>
              <w:t xml:space="preserve">) </w:t>
            </w:r>
          </w:p>
          <w:p w:rsidR="00E84003" w:rsidRPr="00554D87" w:rsidRDefault="00655350" w:rsidP="00655350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3 consequences of convergence of sequences in </w:t>
            </w:r>
            <w:r w:rsidRPr="00554D87">
              <w:rPr>
                <w:b/>
                <w:sz w:val="20"/>
                <w:lang w:val="hu-HU" w:eastAsia="en-US"/>
              </w:rPr>
              <w:t>R</w:t>
            </w:r>
            <w:r w:rsidRPr="00554D87">
              <w:rPr>
                <w:b/>
                <w:position w:val="6"/>
                <w:sz w:val="20"/>
                <w:lang w:val="hu-HU" w:eastAsia="en-US"/>
              </w:rPr>
              <w:t xml:space="preserve">k </w:t>
            </w:r>
            <w:r w:rsidRPr="00554D87">
              <w:rPr>
                <w:sz w:val="20"/>
                <w:lang w:eastAsia="ar-SA"/>
              </w:rPr>
              <w:t xml:space="preserve">.The </w:t>
            </w:r>
            <w:r w:rsidRPr="00554D87">
              <w:rPr>
                <w:b/>
                <w:sz w:val="20"/>
                <w:lang w:val="hu-HU" w:eastAsia="en-US"/>
              </w:rPr>
              <w:t>R</w:t>
            </w:r>
            <w:r w:rsidRPr="00554D87">
              <w:rPr>
                <w:b/>
                <w:position w:val="6"/>
                <w:sz w:val="20"/>
                <w:lang w:val="hu-HU" w:eastAsia="en-US"/>
              </w:rPr>
              <w:t>k</w:t>
            </w:r>
            <w:r w:rsidRPr="00554D87">
              <w:rPr>
                <w:sz w:val="20"/>
                <w:lang w:eastAsia="ar-SA"/>
              </w:rPr>
              <w:t xml:space="preserve"> space: Bolzano-</w:t>
            </w:r>
            <w:proofErr w:type="spellStart"/>
            <w:r w:rsidRPr="00554D87">
              <w:rPr>
                <w:sz w:val="20"/>
                <w:lang w:eastAsia="ar-SA"/>
              </w:rPr>
              <w:t>Weierstrass</w:t>
            </w:r>
            <w:proofErr w:type="spellEnd"/>
            <w:r w:rsidRPr="00554D87">
              <w:rPr>
                <w:sz w:val="20"/>
                <w:lang w:eastAsia="ar-SA"/>
              </w:rPr>
              <w:t xml:space="preserve"> selection theorem</w:t>
            </w:r>
            <w:r w:rsidR="00E84003" w:rsidRPr="00554D87">
              <w:rPr>
                <w:sz w:val="20"/>
                <w:lang w:eastAsia="ar-SA"/>
              </w:rPr>
              <w:t>, Cauchy-</w:t>
            </w:r>
            <w:r w:rsidRPr="00554D87">
              <w:rPr>
                <w:sz w:val="20"/>
                <w:lang w:eastAsia="ar-SA"/>
              </w:rPr>
              <w:t>test for convergence</w:t>
            </w:r>
            <w:r w:rsidR="00E84003" w:rsidRPr="00554D87">
              <w:rPr>
                <w:sz w:val="20"/>
                <w:lang w:eastAsia="ar-SA"/>
              </w:rPr>
              <w:t>. Topol</w:t>
            </w:r>
            <w:r w:rsidRPr="00554D87">
              <w:rPr>
                <w:sz w:val="20"/>
                <w:lang w:eastAsia="ar-SA"/>
              </w:rPr>
              <w:t>ogical notions in metric spaces: open sets, theorem on open sets, closed sets, theorems on closed sets.</w:t>
            </w:r>
            <w:r w:rsidR="00E84003" w:rsidRPr="00554D87">
              <w:rPr>
                <w:sz w:val="20"/>
                <w:lang w:eastAsia="ar-SA"/>
              </w:rPr>
              <w:t xml:space="preserve"> </w:t>
            </w:r>
            <w:r w:rsidRPr="00554D87">
              <w:rPr>
                <w:sz w:val="20"/>
                <w:lang w:eastAsia="ar-SA"/>
              </w:rPr>
              <w:t>C</w:t>
            </w:r>
            <w:r w:rsidR="00E84003" w:rsidRPr="00554D87">
              <w:rPr>
                <w:sz w:val="20"/>
                <w:lang w:eastAsia="ar-SA"/>
              </w:rPr>
              <w:t>ompa</w:t>
            </w:r>
            <w:r w:rsidRPr="00554D87">
              <w:rPr>
                <w:sz w:val="20"/>
                <w:lang w:eastAsia="ar-SA"/>
              </w:rPr>
              <w:t>c</w:t>
            </w:r>
            <w:r w:rsidR="00E84003" w:rsidRPr="00554D87">
              <w:rPr>
                <w:sz w:val="20"/>
                <w:lang w:eastAsia="ar-SA"/>
              </w:rPr>
              <w:t xml:space="preserve">t </w:t>
            </w:r>
            <w:r w:rsidRPr="00554D87">
              <w:rPr>
                <w:sz w:val="20"/>
                <w:lang w:eastAsia="ar-SA"/>
              </w:rPr>
              <w:t>sets</w:t>
            </w:r>
            <w:r w:rsidR="00E84003" w:rsidRPr="00554D87">
              <w:rPr>
                <w:sz w:val="20"/>
                <w:lang w:eastAsia="ar-SA"/>
              </w:rPr>
              <w:t xml:space="preserve">. </w:t>
            </w:r>
            <w:r w:rsidRPr="00554D87">
              <w:rPr>
                <w:sz w:val="20"/>
                <w:lang w:eastAsia="ar-SA"/>
              </w:rPr>
              <w:t>Connections between compactness, boundedness, closeness</w:t>
            </w:r>
            <w:r w:rsidR="00E84003" w:rsidRPr="00554D87">
              <w:rPr>
                <w:sz w:val="20"/>
                <w:lang w:eastAsia="ar-SA"/>
              </w:rPr>
              <w:t>. (</w:t>
            </w:r>
            <w:proofErr w:type="gramStart"/>
            <w:r w:rsidRPr="00554D87">
              <w:rPr>
                <w:sz w:val="20"/>
                <w:lang w:eastAsia="ar-SA"/>
              </w:rPr>
              <w:t>with</w:t>
            </w:r>
            <w:proofErr w:type="gramEnd"/>
            <w:r w:rsidRPr="00554D87">
              <w:rPr>
                <w:sz w:val="20"/>
                <w:lang w:eastAsia="ar-SA"/>
              </w:rPr>
              <w:t xml:space="preserve"> proof.</w:t>
            </w:r>
            <w:r w:rsidR="00E84003" w:rsidRPr="00554D87">
              <w:rPr>
                <w:sz w:val="20"/>
                <w:lang w:eastAsia="ar-SA"/>
              </w:rPr>
              <w:t>)</w:t>
            </w:r>
          </w:p>
          <w:p w:rsidR="002615B1" w:rsidRPr="00554D87" w:rsidRDefault="00655350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>Functions in metric spaces. Notion of multivariable functions. Notion of linear functions in linear space. Representati</w:t>
            </w:r>
            <w:r w:rsidR="00485339" w:rsidRPr="00554D87">
              <w:rPr>
                <w:sz w:val="20"/>
                <w:lang w:eastAsia="ar-SA"/>
              </w:rPr>
              <w:t>on of linear functions in space</w:t>
            </w:r>
            <w:r w:rsidRPr="00554D87">
              <w:rPr>
                <w:sz w:val="20"/>
                <w:lang w:eastAsia="ar-SA"/>
              </w:rPr>
              <w:t xml:space="preserve"> </w:t>
            </w:r>
            <w:r w:rsidR="00485339" w:rsidRPr="00554D87">
              <w:rPr>
                <w:b/>
                <w:sz w:val="20"/>
                <w:lang w:val="hu-HU" w:eastAsia="en-US"/>
              </w:rPr>
              <w:t>R</w:t>
            </w:r>
            <w:r w:rsidR="00485339" w:rsidRPr="00554D87">
              <w:rPr>
                <w:b/>
                <w:position w:val="6"/>
                <w:sz w:val="20"/>
                <w:lang w:val="hu-HU" w:eastAsia="en-US"/>
              </w:rPr>
              <w:t>k</w:t>
            </w:r>
            <w:r w:rsidRPr="00554D87">
              <w:rPr>
                <w:sz w:val="20"/>
                <w:lang w:eastAsia="ar-SA"/>
              </w:rPr>
              <w:t>. Congestion point</w:t>
            </w:r>
            <w:r w:rsidR="00485339" w:rsidRPr="00554D87">
              <w:rPr>
                <w:sz w:val="20"/>
                <w:lang w:eastAsia="ar-SA"/>
              </w:rPr>
              <w:t xml:space="preserve">. Notion of function limit in metric spaces and in </w:t>
            </w:r>
            <w:r w:rsidR="00485339" w:rsidRPr="00554D87">
              <w:rPr>
                <w:b/>
                <w:sz w:val="20"/>
                <w:lang w:val="hu-HU" w:eastAsia="en-US"/>
              </w:rPr>
              <w:t>R</w:t>
            </w:r>
            <w:r w:rsidR="00485339" w:rsidRPr="00554D87">
              <w:rPr>
                <w:b/>
                <w:position w:val="6"/>
                <w:sz w:val="20"/>
                <w:lang w:val="hu-HU" w:eastAsia="en-US"/>
              </w:rPr>
              <w:t>k</w:t>
            </w:r>
            <w:r w:rsidR="00485339" w:rsidRPr="00554D87">
              <w:rPr>
                <w:sz w:val="20"/>
                <w:lang w:eastAsia="ar-SA"/>
              </w:rPr>
              <w:t>.</w:t>
            </w:r>
            <w:r w:rsidR="002615B1" w:rsidRPr="00554D87">
              <w:rPr>
                <w:sz w:val="20"/>
                <w:lang w:eastAsia="ar-SA"/>
              </w:rPr>
              <w:t xml:space="preserve"> Its connection with limit of sequences. Limit properties.</w:t>
            </w:r>
            <w:r w:rsidR="00485339" w:rsidRPr="00554D87">
              <w:rPr>
                <w:sz w:val="20"/>
                <w:lang w:eastAsia="ar-SA"/>
              </w:rPr>
              <w:t xml:space="preserve"> </w:t>
            </w:r>
            <w:r w:rsidR="002615B1" w:rsidRPr="00554D87">
              <w:rPr>
                <w:sz w:val="20"/>
                <w:lang w:eastAsia="ar-SA"/>
              </w:rPr>
              <w:t xml:space="preserve">Theorem on the existence of iterated limit. (with proof) </w:t>
            </w:r>
          </w:p>
          <w:p w:rsidR="00E84003" w:rsidRPr="00554D87" w:rsidRDefault="002615B1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Continuous functions in metric spaces and in </w:t>
            </w:r>
            <w:r w:rsidRPr="00554D87">
              <w:rPr>
                <w:b/>
                <w:sz w:val="20"/>
                <w:lang w:val="hu-HU" w:eastAsia="en-US"/>
              </w:rPr>
              <w:t>R</w:t>
            </w:r>
            <w:r w:rsidRPr="00554D87">
              <w:rPr>
                <w:b/>
                <w:position w:val="6"/>
                <w:sz w:val="20"/>
                <w:lang w:val="hu-HU" w:eastAsia="en-US"/>
              </w:rPr>
              <w:t>k</w:t>
            </w:r>
            <w:r w:rsidRPr="00554D87">
              <w:rPr>
                <w:sz w:val="20"/>
                <w:lang w:eastAsia="ar-SA"/>
              </w:rPr>
              <w:t>, its connection to sequences. Discontinuities. Operations (linear combinations, product, quotient, composition) Properties of continuous functions on compact sets. (3 theorems) Connected sets. Generalisation of theorem of Bolzano. (Topology, dimension, fractals.)</w:t>
            </w:r>
          </w:p>
          <w:p w:rsidR="002615B1" w:rsidRPr="00554D87" w:rsidRDefault="002615B1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>Differentiability of multivariable functions.</w:t>
            </w:r>
            <w:r w:rsidR="00337501" w:rsidRPr="00554D87">
              <w:rPr>
                <w:sz w:val="20"/>
                <w:lang w:eastAsia="ar-SA"/>
              </w:rPr>
              <w:t xml:space="preserve"> Partial derivatives, directional derivatives. Geometrical meaning. Connection between partial differentiability and continuity, with proof. 3 equivalent notions of differentiability, Derivative matrix, gradient, geometrical meaning, Jacobean matrix. Tangent plane.</w:t>
            </w:r>
          </w:p>
          <w:p w:rsidR="00337501" w:rsidRPr="00554D87" w:rsidRDefault="00337501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Connection between differentiability and continuity. (With proof.) A differentiable function is partially differentiable with respect to each </w:t>
            </w:r>
            <w:proofErr w:type="gramStart"/>
            <w:r w:rsidRPr="00554D87">
              <w:rPr>
                <w:sz w:val="20"/>
                <w:lang w:eastAsia="ar-SA"/>
              </w:rPr>
              <w:t>variables</w:t>
            </w:r>
            <w:proofErr w:type="gramEnd"/>
            <w:r w:rsidRPr="00554D87">
              <w:rPr>
                <w:sz w:val="20"/>
                <w:lang w:eastAsia="ar-SA"/>
              </w:rPr>
              <w:t>. Counterexample for the failure of the reverse statement. A sufficient condition of the differentiability. (Proof for 2 variables.)</w:t>
            </w:r>
          </w:p>
          <w:p w:rsidR="00337501" w:rsidRPr="00554D87" w:rsidRDefault="00337501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>Derivatives of function composition. Generalizations of the Lagrange mean value theorem. (With proof.) Higher order derivatives</w:t>
            </w:r>
            <w:r w:rsidR="00721E4C" w:rsidRPr="00554D87">
              <w:rPr>
                <w:sz w:val="20"/>
                <w:lang w:eastAsia="ar-SA"/>
              </w:rPr>
              <w:t>. First and second order differential. Young theorem on the equality of the mixed partial derivatives. (With proof.)</w:t>
            </w:r>
          </w:p>
          <w:p w:rsidR="00721E4C" w:rsidRPr="00554D87" w:rsidRDefault="00721E4C" w:rsidP="00721E4C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Bivariate Taylor formula. (With proof.) Local extrema for real functions of several variables. A first order necessary condition. The quadratic form of a symmetric matrix. Theorems on definite matrices. Second order sufficient condition on the existence of extrema. Second order necessary condition on the existence of constrained extrema. </w:t>
            </w:r>
          </w:p>
          <w:p w:rsidR="00721E4C" w:rsidRPr="00554D87" w:rsidRDefault="00721E4C" w:rsidP="00721E4C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Implicit function theorem for one-variable function equations. Constrained extrema. </w:t>
            </w:r>
            <w:r w:rsidR="00817F16" w:rsidRPr="00554D87">
              <w:rPr>
                <w:sz w:val="20"/>
                <w:lang w:eastAsia="ar-SA"/>
              </w:rPr>
              <w:t>The</w:t>
            </w:r>
            <w:r w:rsidRPr="00554D87">
              <w:rPr>
                <w:sz w:val="20"/>
                <w:lang w:eastAsia="ar-SA"/>
              </w:rPr>
              <w:t xml:space="preserve"> necessary condition on the existence of constrained extrema.</w:t>
            </w:r>
            <w:r w:rsidR="00817F16" w:rsidRPr="00554D87">
              <w:rPr>
                <w:sz w:val="20"/>
                <w:lang w:eastAsia="ar-SA"/>
              </w:rPr>
              <w:t xml:space="preserve"> Lagrange multiplier method.</w:t>
            </w:r>
          </w:p>
          <w:p w:rsidR="00721E4C" w:rsidRPr="00554D87" w:rsidRDefault="00817F16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554D87">
              <w:rPr>
                <w:sz w:val="20"/>
                <w:lang w:eastAsia="ar-SA"/>
              </w:rPr>
              <w:t xml:space="preserve">Double integral. Operation properties. </w:t>
            </w:r>
            <w:proofErr w:type="spellStart"/>
            <w:r w:rsidRPr="00554D87">
              <w:rPr>
                <w:sz w:val="20"/>
                <w:lang w:eastAsia="ar-SA"/>
              </w:rPr>
              <w:t>Fubini</w:t>
            </w:r>
            <w:proofErr w:type="spellEnd"/>
            <w:r w:rsidRPr="00554D87">
              <w:rPr>
                <w:sz w:val="20"/>
                <w:lang w:eastAsia="ar-SA"/>
              </w:rPr>
              <w:t xml:space="preserve"> theorem. Evaluation of double integrals on bounded regions. Multiple integrals, a generalisation in </w:t>
            </w:r>
            <w:r w:rsidRPr="00554D87">
              <w:rPr>
                <w:i/>
                <w:sz w:val="20"/>
                <w:lang w:eastAsia="ar-SA"/>
              </w:rPr>
              <w:t>n</w:t>
            </w:r>
            <w:r w:rsidRPr="00554D87">
              <w:rPr>
                <w:sz w:val="20"/>
                <w:lang w:eastAsia="ar-SA"/>
              </w:rPr>
              <w:t xml:space="preserve"> dimensions. Generalisations of theorems on one-variable integral calculus.</w:t>
            </w:r>
          </w:p>
          <w:p w:rsidR="00817F16" w:rsidRPr="00554D87" w:rsidRDefault="00817F16" w:rsidP="002615B1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proofErr w:type="spellStart"/>
            <w:r w:rsidRPr="00554D87">
              <w:rPr>
                <w:sz w:val="20"/>
                <w:lang w:eastAsia="ar-SA"/>
              </w:rPr>
              <w:t>Interal</w:t>
            </w:r>
            <w:proofErr w:type="spellEnd"/>
            <w:r w:rsidRPr="00554D87">
              <w:rPr>
                <w:sz w:val="20"/>
                <w:lang w:eastAsia="ar-SA"/>
              </w:rPr>
              <w:t xml:space="preserve"> transformation. Polar coordinate transformation. Computing volumes.</w:t>
            </w:r>
          </w:p>
          <w:p w:rsidR="00666AA6" w:rsidRPr="00CC3D8C" w:rsidRDefault="00817F16" w:rsidP="00817F16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 w:rsidRPr="00554D87">
              <w:rPr>
                <w:sz w:val="20"/>
                <w:lang w:eastAsia="ar-SA"/>
              </w:rPr>
              <w:lastRenderedPageBreak/>
              <w:t>Jordan measure. Applying the double integral to compute area, volume, mass, centres of gravity. Evaluation of a Gauss integral applying a double integral.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E76FC2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E76FC2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</w:t>
            </w:r>
            <w:r w:rsidR="00E76FC2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79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</w:t>
            </w:r>
            <w:r w:rsidR="00E76FC2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89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</w:t>
            </w:r>
            <w:r w:rsidR="00E76FC2">
              <w:rPr>
                <w:szCs w:val="20"/>
                <w:lang w:val="en-GB"/>
              </w:rPr>
              <w:t>0</w:t>
            </w:r>
            <w:r w:rsidRPr="004E203A">
              <w:rPr>
                <w:szCs w:val="20"/>
                <w:lang w:val="en-GB"/>
              </w:rPr>
              <w:t>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r>
              <w:rPr>
                <w:szCs w:val="20"/>
              </w:rPr>
              <w:t>After successful preliminary exam there is an oral exam in 3 topics. The final grade is obtained from the arithmetic mean of the 4 grades, but only in case when all parts hit the acceptable measure.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400FC2" w:rsidRDefault="00400FC2" w:rsidP="00400FC2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iCs/>
                <w:szCs w:val="20"/>
                <w:lang w:eastAsia="hu-HU"/>
              </w:rPr>
            </w:pPr>
            <w:r>
              <w:rPr>
                <w:iCs/>
                <w:szCs w:val="20"/>
                <w:lang w:eastAsia="hu-HU"/>
              </w:rPr>
              <w:t xml:space="preserve">Dineen, Seán, </w:t>
            </w:r>
            <w:r w:rsidRPr="005568FB">
              <w:rPr>
                <w:iCs/>
                <w:szCs w:val="20"/>
                <w:lang w:eastAsia="hu-HU"/>
              </w:rPr>
              <w:t xml:space="preserve">Multivariate calculus and geometry. Springer, 2001. </w:t>
            </w:r>
          </w:p>
          <w:p w:rsidR="00522AB4" w:rsidRPr="00522AB4" w:rsidRDefault="00400FC2" w:rsidP="00400FC2">
            <w:pPr>
              <w:autoSpaceDE/>
              <w:rPr>
                <w:szCs w:val="20"/>
              </w:rPr>
            </w:pPr>
            <w:r w:rsidRPr="005568FB">
              <w:rPr>
                <w:iCs/>
                <w:szCs w:val="20"/>
                <w:lang w:eastAsia="hu-HU"/>
              </w:rPr>
              <w:t>Moskowitz, Martin A., and Fotios Paliogiannis. Functions of several real variables. World Scientific, 2011.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23710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523710">
              <w:rPr>
                <w:b/>
                <w:bCs/>
                <w:szCs w:val="20"/>
              </w:rPr>
              <w:t>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352" w:rsidRDefault="00FA4352">
      <w:r>
        <w:separator/>
      </w:r>
    </w:p>
  </w:endnote>
  <w:endnote w:type="continuationSeparator" w:id="0">
    <w:p w:rsidR="00FA4352" w:rsidRDefault="00FA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352" w:rsidRDefault="00FA4352">
      <w:r>
        <w:separator/>
      </w:r>
    </w:p>
  </w:footnote>
  <w:footnote w:type="continuationSeparator" w:id="0">
    <w:p w:rsidR="00FA4352" w:rsidRDefault="00FA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A67638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6705D"/>
    <w:rsid w:val="001154D6"/>
    <w:rsid w:val="00115FB5"/>
    <w:rsid w:val="00153739"/>
    <w:rsid w:val="00163CEA"/>
    <w:rsid w:val="00165A84"/>
    <w:rsid w:val="00175F2B"/>
    <w:rsid w:val="0020657B"/>
    <w:rsid w:val="00215A54"/>
    <w:rsid w:val="00236EEE"/>
    <w:rsid w:val="002615B1"/>
    <w:rsid w:val="002B022E"/>
    <w:rsid w:val="002C53DB"/>
    <w:rsid w:val="002F46E5"/>
    <w:rsid w:val="003114A7"/>
    <w:rsid w:val="00323824"/>
    <w:rsid w:val="00337501"/>
    <w:rsid w:val="00362051"/>
    <w:rsid w:val="003C1B9A"/>
    <w:rsid w:val="003E64C8"/>
    <w:rsid w:val="003F2BFA"/>
    <w:rsid w:val="00400FC2"/>
    <w:rsid w:val="00485339"/>
    <w:rsid w:val="004E203A"/>
    <w:rsid w:val="00522AB4"/>
    <w:rsid w:val="00523710"/>
    <w:rsid w:val="00554D87"/>
    <w:rsid w:val="00570C65"/>
    <w:rsid w:val="00580334"/>
    <w:rsid w:val="0058247B"/>
    <w:rsid w:val="006208EF"/>
    <w:rsid w:val="00655350"/>
    <w:rsid w:val="00666AA6"/>
    <w:rsid w:val="006965B3"/>
    <w:rsid w:val="006A33F8"/>
    <w:rsid w:val="007208AA"/>
    <w:rsid w:val="00721E4C"/>
    <w:rsid w:val="00774A19"/>
    <w:rsid w:val="00774D9D"/>
    <w:rsid w:val="00776359"/>
    <w:rsid w:val="007C0487"/>
    <w:rsid w:val="007D6A24"/>
    <w:rsid w:val="00817F16"/>
    <w:rsid w:val="00940241"/>
    <w:rsid w:val="00956E58"/>
    <w:rsid w:val="00962AF4"/>
    <w:rsid w:val="00A331D5"/>
    <w:rsid w:val="00A67638"/>
    <w:rsid w:val="00A83EB2"/>
    <w:rsid w:val="00AC6344"/>
    <w:rsid w:val="00C10AB9"/>
    <w:rsid w:val="00C2298C"/>
    <w:rsid w:val="00C23CAB"/>
    <w:rsid w:val="00C310B9"/>
    <w:rsid w:val="00C505A4"/>
    <w:rsid w:val="00C96174"/>
    <w:rsid w:val="00CC3D8C"/>
    <w:rsid w:val="00CC5C25"/>
    <w:rsid w:val="00D21F08"/>
    <w:rsid w:val="00D37BFC"/>
    <w:rsid w:val="00E14B42"/>
    <w:rsid w:val="00E22441"/>
    <w:rsid w:val="00E26A17"/>
    <w:rsid w:val="00E76FC2"/>
    <w:rsid w:val="00E84003"/>
    <w:rsid w:val="00E87D53"/>
    <w:rsid w:val="00EE64C6"/>
    <w:rsid w:val="00F01CC5"/>
    <w:rsid w:val="00F0495D"/>
    <w:rsid w:val="00F2724B"/>
    <w:rsid w:val="00F3145E"/>
    <w:rsid w:val="00F5670C"/>
    <w:rsid w:val="00F66FE8"/>
    <w:rsid w:val="00F8672B"/>
    <w:rsid w:val="00FA1A93"/>
    <w:rsid w:val="00FA2BB3"/>
    <w:rsid w:val="00FA4352"/>
    <w:rsid w:val="00FB1F55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4836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2017-06-12T16:03:00Z</dcterms:created>
  <dcterms:modified xsi:type="dcterms:W3CDTF">2017-06-12T16:03:00Z</dcterms:modified>
</cp:coreProperties>
</file>