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Analog Cartography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i w:val="0"/>
                <w:smallCaps w:val="0"/>
                <w:strike w:val="0"/>
                <w:color w:val="000000"/>
                <w:sz w:val="20"/>
                <w:szCs w:val="20"/>
                <w:u w:val="none"/>
                <w:shd w:fill="auto" w:val="clear"/>
                <w:vertAlign w:val="baseline"/>
                <w:rtl w:val="0"/>
              </w:rPr>
              <w:t xml:space="preserve">26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László NAGYVÁRADI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Aims: </w:t>
            </w:r>
          </w:p>
          <w:p w:rsidR="00000000" w:rsidDel="00000000" w:rsidP="00000000" w:rsidRDefault="00000000" w:rsidRPr="00000000" w14:paraId="00000041">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1. To provide an understanding of the cartographical elements</w:t>
            </w:r>
          </w:p>
          <w:p w:rsidR="00000000" w:rsidDel="00000000" w:rsidP="00000000" w:rsidRDefault="00000000" w:rsidRPr="00000000" w14:paraId="00000042">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2. To provide the type of the map scale</w:t>
            </w:r>
          </w:p>
          <w:p w:rsidR="00000000" w:rsidDel="00000000" w:rsidP="00000000" w:rsidRDefault="00000000" w:rsidRPr="00000000" w14:paraId="00000043">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3. To apply the basic cartographical measuring</w:t>
            </w:r>
          </w:p>
          <w:p w:rsidR="00000000" w:rsidDel="00000000" w:rsidP="00000000" w:rsidRDefault="00000000" w:rsidRPr="00000000" w14:paraId="00000044">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Knowledge: </w:t>
            </w:r>
          </w:p>
          <w:p w:rsidR="00000000" w:rsidDel="00000000" w:rsidP="00000000" w:rsidRDefault="00000000" w:rsidRPr="00000000" w14:paraId="00000045">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On successful completion of this course students are expected to be able to/to have an understanding of/to be familiar with. The cartographical orientation, map sale use, map-reading.</w:t>
            </w:r>
          </w:p>
          <w:p w:rsidR="00000000" w:rsidDel="00000000" w:rsidP="00000000" w:rsidRDefault="00000000" w:rsidRPr="00000000" w14:paraId="00000046">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Subject-specific skills: using the contour lines, measure the elevation, the distance and square</w:t>
            </w:r>
          </w:p>
          <w:p w:rsidR="00000000" w:rsidDel="00000000" w:rsidP="00000000" w:rsidRDefault="00000000" w:rsidRPr="00000000" w14:paraId="00000047">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On successful completion of the course students are expected to be able to: the relief, settlement and water symbols on the topographic maps</w:t>
            </w:r>
          </w:p>
          <w:p w:rsidR="00000000" w:rsidDel="00000000" w:rsidP="00000000" w:rsidRDefault="00000000" w:rsidRPr="00000000" w14:paraId="00000048">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assess/comprehend/comapare/understand/present/discuss/evaluate/judge/abstract/develop/critically engaged with map projection, logical map-reading even the thematic maps and atlases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w:t>
              <w:tab/>
              <w:t xml:space="preserve">Intro topographic maps scale:1:1000 – 1:100000</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2</w:t>
              <w:tab/>
              <w:t xml:space="preserve">Map projection, coordinate systems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3</w:t>
              <w:tab/>
              <w:t xml:space="preserve">Orientation an topographic maps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4</w:t>
              <w:tab/>
              <w:t xml:space="preserve">Topographic map sections numbers and it’s using</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5</w:t>
              <w:tab/>
              <w:t xml:space="preserve">Topographic map elements, relief: using contour lines and measuring the altitude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6</w:t>
              <w:tab/>
              <w:t xml:space="preserve">Relief reconstruction with contour lines, topographic profile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7</w:t>
              <w:tab/>
              <w:t xml:space="preserve">Colours and symbols: hydrology graph on topographic maps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8</w:t>
              <w:tab/>
              <w:t xml:space="preserve">Colours and symbols: Settlements graph on topographic maps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9</w:t>
              <w:tab/>
              <w:t xml:space="preserve">Colours and symbols: Roads and borders on topographic maps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10</w:t>
              <w:tab/>
              <w:t xml:space="preserve">Colours and symbols: Vegetation on topographic maps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11</w:t>
              <w:tab/>
              <w:t xml:space="preserve">Legend on topographic maps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12</w:t>
              <w:tab/>
              <w:t xml:space="preserve">Settlements morphology analysis based on contour lines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13</w:t>
              <w:tab/>
              <w:t xml:space="preserve">Position analysis with colours and symbols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14      Practice summary, evaluation </w:t>
            </w:r>
            <w:r w:rsidDel="00000000" w:rsidR="00000000" w:rsidRPr="00000000">
              <w:rPr>
                <w:rtl w:val="0"/>
              </w:rPr>
            </w:r>
          </w:p>
          <w:p w:rsidR="00000000" w:rsidDel="00000000" w:rsidP="00000000" w:rsidRDefault="00000000" w:rsidRPr="00000000" w14:paraId="0000005C">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1">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Each week from the third week  to the twelve week  Midterm exam following the weekly thematic</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sz w:val="22"/>
                <w:szCs w:val="22"/>
                <w:rtl w:val="0"/>
              </w:rPr>
              <w:t xml:space="preserve">1.</w:t>
              <w:tab/>
              <w:t xml:space="preserve">map scale , 2.direction finding, 3. Position finding, 4. Area and volume measures, 5. surface analysis, 6. spatial patterns analysis, 7. Spatial association analysis, 8. topographic profile</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8">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9">
            <w:pPr>
              <w:pageBreakBefore w:val="0"/>
              <w:ind w:left="140" w:firstLine="0"/>
              <w:rPr/>
            </w:pPr>
            <w:r w:rsidDel="00000000" w:rsidR="00000000" w:rsidRPr="00000000">
              <w:rPr>
                <w:rtl w:val="0"/>
              </w:rPr>
              <w:t xml:space="preserve">Evaluation is based on, eight midterm exams. Exams: both cartographical measuring and calculations. Grading percentages may vary according to the position of the Gauss curve, but the approximate ranges are the followings: </w:t>
            </w:r>
          </w:p>
          <w:p w:rsidR="00000000" w:rsidDel="00000000" w:rsidP="00000000" w:rsidRDefault="00000000" w:rsidRPr="00000000" w14:paraId="0000006A">
            <w:pPr>
              <w:pageBreakBefore w:val="0"/>
              <w:ind w:left="140" w:firstLine="0"/>
              <w:rPr/>
            </w:pPr>
            <w:r w:rsidDel="00000000" w:rsidR="00000000" w:rsidRPr="00000000">
              <w:rPr>
                <w:rtl w:val="0"/>
              </w:rPr>
              <w:t xml:space="preserve">just less than 50% = 1</w:t>
            </w:r>
          </w:p>
          <w:p w:rsidR="00000000" w:rsidDel="00000000" w:rsidP="00000000" w:rsidRDefault="00000000" w:rsidRPr="00000000" w14:paraId="0000006B">
            <w:pPr>
              <w:pageBreakBefore w:val="0"/>
              <w:ind w:left="140" w:firstLine="0"/>
              <w:rPr/>
            </w:pPr>
            <w:r w:rsidDel="00000000" w:rsidR="00000000" w:rsidRPr="00000000">
              <w:rPr>
                <w:rtl w:val="0"/>
              </w:rPr>
              <w:t xml:space="preserve">50 to 64.99% = 2</w:t>
            </w:r>
          </w:p>
          <w:p w:rsidR="00000000" w:rsidDel="00000000" w:rsidP="00000000" w:rsidRDefault="00000000" w:rsidRPr="00000000" w14:paraId="0000006C">
            <w:pPr>
              <w:pageBreakBefore w:val="0"/>
              <w:ind w:left="140" w:firstLine="0"/>
              <w:rPr/>
            </w:pPr>
            <w:r w:rsidDel="00000000" w:rsidR="00000000" w:rsidRPr="00000000">
              <w:rPr>
                <w:rtl w:val="0"/>
              </w:rPr>
              <w:t xml:space="preserve">65 to 74.99% = 3</w:t>
            </w:r>
          </w:p>
          <w:p w:rsidR="00000000" w:rsidDel="00000000" w:rsidP="00000000" w:rsidRDefault="00000000" w:rsidRPr="00000000" w14:paraId="0000006D">
            <w:pPr>
              <w:pageBreakBefore w:val="0"/>
              <w:ind w:left="140" w:firstLine="0"/>
              <w:rPr/>
            </w:pPr>
            <w:r w:rsidDel="00000000" w:rsidR="00000000" w:rsidRPr="00000000">
              <w:rPr>
                <w:rtl w:val="0"/>
              </w:rPr>
              <w:t xml:space="preserve">75 to 84.99% = 4</w:t>
            </w:r>
          </w:p>
          <w:p w:rsidR="00000000" w:rsidDel="00000000" w:rsidP="00000000" w:rsidRDefault="00000000" w:rsidRPr="00000000" w14:paraId="0000006E">
            <w:pPr>
              <w:pageBreakBefore w:val="0"/>
              <w:ind w:left="140" w:firstLine="0"/>
              <w:rPr/>
            </w:pPr>
            <w:r w:rsidDel="00000000" w:rsidR="00000000" w:rsidRPr="00000000">
              <w:rPr>
                <w:rtl w:val="0"/>
              </w:rPr>
              <w:t xml:space="preserve">85+% = 5</w:t>
            </w:r>
          </w:p>
          <w:p w:rsidR="00000000" w:rsidDel="00000000" w:rsidP="00000000" w:rsidRDefault="00000000" w:rsidRPr="00000000" w14:paraId="0000006F">
            <w:pPr>
              <w:pageBreakBefore w:val="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5">
            <w:pPr>
              <w:pageBreakBefore w:val="0"/>
              <w:numPr>
                <w:ilvl w:val="0"/>
                <w:numId w:val="1"/>
              </w:numPr>
              <w:ind w:left="720" w:hanging="360"/>
              <w:rPr/>
            </w:pPr>
            <w:r w:rsidDel="00000000" w:rsidR="00000000" w:rsidRPr="00000000">
              <w:rPr>
                <w:rtl w:val="0"/>
              </w:rPr>
              <w:t xml:space="preserve">Map Use Ed. A. Jon Kimerling 2012 Esri Press New York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F">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0">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1">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2">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6">
            <w:pPr>
              <w:pageBreakBefore w:val="0"/>
              <w:rPr>
                <w:b w:val="1"/>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9">
            <w:pPr>
              <w:pageBreakBefore w:val="0"/>
              <w:jc w:val="center"/>
              <w:rPr/>
            </w:pPr>
            <w:r w:rsidDel="00000000" w:rsidR="00000000" w:rsidRPr="00000000">
              <w:rPr>
                <w:rtl w:val="0"/>
              </w:rPr>
              <w:t xml:space="preserve">László NAGYVÁRADI PhD</w:t>
            </w:r>
          </w:p>
          <w:p w:rsidR="00000000" w:rsidDel="00000000" w:rsidP="00000000" w:rsidRDefault="00000000" w:rsidRPr="00000000" w14:paraId="0000008A">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C">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1">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4">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6">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8">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A">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