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Introduction to Geology</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lecture</w:t>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3</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János KOVÁCS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 </w:t>
            </w:r>
            <w:r w:rsidDel="00000000" w:rsidR="00000000" w:rsidRPr="00000000">
              <w:rPr>
                <w:rtl w:val="0"/>
              </w:rPr>
              <w:t xml:space="preserve">Geology and Meteorology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János KOVÁCS</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85</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Krisztina SEBE</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15%</w:t>
            </w: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A">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40">
            <w:pPr>
              <w:pageBreakBefore w:val="0"/>
              <w:spacing w:after="0" w:before="0" w:line="240" w:lineRule="auto"/>
              <w:ind w:left="0" w:firstLine="0"/>
              <w:rPr/>
            </w:pPr>
            <w:r w:rsidDel="00000000" w:rsidR="00000000" w:rsidRPr="00000000">
              <w:rPr>
                <w:rtl w:val="0"/>
              </w:rPr>
              <w:t xml:space="preserve">The subject matter examined in the course covers the basics of geology and the objectives of the course are to provide students with a general understanding of this discipline. The course will focus on the chemistry and properties of minerals, the composition of igneous, sedimentary and metamorphic rocks and some of the earth processes responsible for rock and mineral formation.</w:t>
            </w:r>
          </w:p>
          <w:p w:rsidR="00000000" w:rsidDel="00000000" w:rsidP="00000000" w:rsidRDefault="00000000" w:rsidRPr="00000000" w14:paraId="00000041">
            <w:pPr>
              <w:pageBreakBefore w:val="0"/>
              <w:numPr>
                <w:ilvl w:val="0"/>
                <w:numId w:val="3"/>
              </w:numPr>
              <w:spacing w:after="0" w:before="0" w:line="240" w:lineRule="auto"/>
              <w:ind w:left="720" w:hanging="360"/>
              <w:rPr>
                <w:u w:val="none"/>
              </w:rPr>
            </w:pPr>
            <w:r w:rsidDel="00000000" w:rsidR="00000000" w:rsidRPr="00000000">
              <w:rPr>
                <w:rtl w:val="0"/>
              </w:rPr>
              <w:t xml:space="preserve">Students will be better able how to observe and think about landscapes and other aspects of Earth;</w:t>
            </w:r>
          </w:p>
          <w:p w:rsidR="00000000" w:rsidDel="00000000" w:rsidP="00000000" w:rsidRDefault="00000000" w:rsidRPr="00000000" w14:paraId="00000042">
            <w:pPr>
              <w:pageBreakBefore w:val="0"/>
              <w:numPr>
                <w:ilvl w:val="0"/>
                <w:numId w:val="3"/>
              </w:numPr>
              <w:spacing w:after="0" w:before="0" w:line="240" w:lineRule="auto"/>
              <w:ind w:left="720" w:hanging="360"/>
              <w:rPr>
                <w:u w:val="none"/>
              </w:rPr>
            </w:pPr>
            <w:r w:rsidDel="00000000" w:rsidR="00000000" w:rsidRPr="00000000">
              <w:rPr>
                <w:rtl w:val="0"/>
              </w:rPr>
              <w:t xml:space="preserve">Students will better understand the relevance of geology to their local geologic setting and the larger societal issues, like resources;</w:t>
            </w:r>
          </w:p>
          <w:p w:rsidR="00000000" w:rsidDel="00000000" w:rsidP="00000000" w:rsidRDefault="00000000" w:rsidRPr="00000000" w14:paraId="00000043">
            <w:pPr>
              <w:pageBreakBefore w:val="0"/>
              <w:numPr>
                <w:ilvl w:val="0"/>
                <w:numId w:val="3"/>
              </w:numPr>
              <w:spacing w:after="0" w:before="0" w:line="240" w:lineRule="auto"/>
              <w:ind w:left="720" w:hanging="360"/>
              <w:rPr>
                <w:u w:val="none"/>
              </w:rPr>
            </w:pPr>
            <w:r w:rsidDel="00000000" w:rsidR="00000000" w:rsidRPr="00000000">
              <w:rPr>
                <w:rtl w:val="0"/>
              </w:rPr>
              <w:t xml:space="preserve">Students will understand main geologic concepts and demonstrate an ability to apply geologic concepts;</w:t>
            </w:r>
          </w:p>
          <w:p w:rsidR="00000000" w:rsidDel="00000000" w:rsidP="00000000" w:rsidRDefault="00000000" w:rsidRPr="00000000" w14:paraId="00000044">
            <w:pPr>
              <w:pageBreakBefore w:val="0"/>
              <w:numPr>
                <w:ilvl w:val="0"/>
                <w:numId w:val="3"/>
              </w:numPr>
              <w:spacing w:after="0" w:before="0" w:line="240" w:lineRule="auto"/>
              <w:ind w:left="720" w:hanging="360"/>
              <w:rPr>
                <w:u w:val="none"/>
              </w:rPr>
            </w:pPr>
            <w:r w:rsidDel="00000000" w:rsidR="00000000" w:rsidRPr="00000000">
              <w:rPr>
                <w:rtl w:val="0"/>
              </w:rPr>
              <w:t xml:space="preserve">Students will become more informed citizens and leave class with an interest in learning more.</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4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The Earth: interior, structure, geospheres, lithosphere, minerals, rocks, definitions</w:t>
            </w:r>
          </w:p>
          <w:p w:rsidR="00000000" w:rsidDel="00000000" w:rsidP="00000000" w:rsidRDefault="00000000" w:rsidRPr="00000000" w14:paraId="000000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Plate tectonics: Wilson-cycle, tectonics and igneous processes</w:t>
            </w:r>
          </w:p>
          <w:p w:rsidR="00000000" w:rsidDel="00000000" w:rsidP="00000000" w:rsidRDefault="00000000" w:rsidRPr="00000000" w14:paraId="0000004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Mineralogy: crystallography, physical and chemical properties, systematics</w:t>
            </w:r>
          </w:p>
          <w:p w:rsidR="00000000" w:rsidDel="00000000" w:rsidP="00000000" w:rsidRDefault="00000000" w:rsidRPr="00000000" w14:paraId="0000004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Igneous processes: magma, volcanic processes, igneous rocks</w:t>
            </w:r>
          </w:p>
          <w:p w:rsidR="00000000" w:rsidDel="00000000" w:rsidP="00000000" w:rsidRDefault="00000000" w:rsidRPr="00000000" w14:paraId="0000004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Weathering: physical, chemical, soils, sedimentary processes, clastic sedimentary rocks</w:t>
            </w:r>
          </w:p>
          <w:p w:rsidR="00000000" w:rsidDel="00000000" w:rsidP="00000000" w:rsidRDefault="00000000" w:rsidRPr="00000000" w14:paraId="000000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Carbonate sedimentary processes and sedimentary rocks</w:t>
            </w:r>
          </w:p>
          <w:p w:rsidR="00000000" w:rsidDel="00000000" w:rsidP="00000000" w:rsidRDefault="00000000" w:rsidRPr="00000000" w14:paraId="0000005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Sedimentary ore formations, chemical sediments, organic sedimentary rocks</w:t>
            </w:r>
          </w:p>
          <w:p w:rsidR="00000000" w:rsidDel="00000000" w:rsidP="00000000" w:rsidRDefault="00000000" w:rsidRPr="00000000" w14:paraId="0000005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Metamorphism and metamorphic rocks, deformations, plate tectonics</w:t>
            </w:r>
          </w:p>
          <w:p w:rsidR="00000000" w:rsidDel="00000000" w:rsidP="00000000" w:rsidRDefault="00000000" w:rsidRPr="00000000" w14:paraId="0000005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Paleontology and stratigraphy</w:t>
            </w:r>
          </w:p>
          <w:p w:rsidR="00000000" w:rsidDel="00000000" w:rsidP="00000000" w:rsidRDefault="00000000" w:rsidRPr="00000000" w14:paraId="0000005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Geologic time, earth history</w:t>
            </w:r>
          </w:p>
          <w:p w:rsidR="00000000" w:rsidDel="00000000" w:rsidP="00000000" w:rsidRDefault="00000000" w:rsidRPr="00000000" w14:paraId="0000005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Structural geology: deformation, strain, stress field, mountain building</w:t>
            </w:r>
          </w:p>
          <w:p w:rsidR="00000000" w:rsidDel="00000000" w:rsidP="00000000" w:rsidRDefault="00000000" w:rsidRPr="00000000" w14:paraId="0000005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Geologic mapping</w:t>
            </w:r>
          </w:p>
          <w:p w:rsidR="00000000" w:rsidDel="00000000" w:rsidP="00000000" w:rsidRDefault="00000000" w:rsidRPr="00000000" w14:paraId="0000005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u w:val="none"/>
              </w:rPr>
            </w:pPr>
            <w:r w:rsidDel="00000000" w:rsidR="00000000" w:rsidRPr="00000000">
              <w:rPr>
                <w:rtl w:val="0"/>
              </w:rPr>
              <w:t xml:space="preserve">Basics of geophysics</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5B">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sz w:val="22"/>
                <w:szCs w:val="22"/>
              </w:rPr>
            </w:pPr>
            <w:r w:rsidDel="00000000" w:rsidR="00000000" w:rsidRPr="00000000">
              <w:rPr>
                <w:sz w:val="22"/>
                <w:szCs w:val="22"/>
                <w:rtl w:val="0"/>
              </w:rPr>
              <w:t xml:space="preserve">Week 4 Midterm exam</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sz w:val="22"/>
                <w:szCs w:val="22"/>
              </w:rPr>
            </w:pPr>
            <w:r w:rsidDel="00000000" w:rsidR="00000000" w:rsidRPr="00000000">
              <w:rPr>
                <w:sz w:val="22"/>
                <w:szCs w:val="22"/>
                <w:rtl w:val="0"/>
              </w:rPr>
              <w:t xml:space="preserve">Week 9 Midterm exam</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sz w:val="22"/>
                <w:szCs w:val="22"/>
              </w:rPr>
            </w:pPr>
            <w:r w:rsidDel="00000000" w:rsidR="00000000" w:rsidRPr="00000000">
              <w:rPr>
                <w:sz w:val="22"/>
                <w:szCs w:val="22"/>
                <w:rtl w:val="0"/>
              </w:rPr>
              <w:t xml:space="preserve">Week 13 Midterm exam</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sz w:val="22"/>
                <w:szCs w:val="22"/>
              </w:rPr>
            </w:pPr>
            <w:r w:rsidDel="00000000" w:rsidR="00000000" w:rsidRPr="00000000">
              <w:rPr>
                <w:sz w:val="22"/>
                <w:szCs w:val="22"/>
                <w:rtl w:val="0"/>
              </w:rPr>
              <w:t xml:space="preserve">Week 12 Submission of homework</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4">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65">
            <w:pPr>
              <w:pageBreakBefore w:val="0"/>
              <w:ind w:left="142" w:firstLine="0"/>
              <w:rPr/>
            </w:pPr>
            <w:r w:rsidDel="00000000" w:rsidR="00000000" w:rsidRPr="00000000">
              <w:rPr>
                <w:rtl w:val="0"/>
              </w:rPr>
              <w:t xml:space="preserve">Evaluation is based on midterm exams and homework points.</w:t>
            </w:r>
          </w:p>
          <w:p w:rsidR="00000000" w:rsidDel="00000000" w:rsidP="00000000" w:rsidRDefault="00000000" w:rsidRPr="00000000" w14:paraId="00000066">
            <w:pPr>
              <w:pageBreakBefore w:val="0"/>
              <w:ind w:left="142" w:firstLine="0"/>
              <w:rPr/>
            </w:pPr>
            <w:r w:rsidDel="00000000" w:rsidR="00000000" w:rsidRPr="00000000">
              <w:rPr>
                <w:rtl w:val="0"/>
              </w:rPr>
              <w:t xml:space="preserve">Grading is based upon:</w:t>
            </w:r>
          </w:p>
          <w:p w:rsidR="00000000" w:rsidDel="00000000" w:rsidP="00000000" w:rsidRDefault="00000000" w:rsidRPr="00000000" w14:paraId="00000067">
            <w:pPr>
              <w:pageBreakBefore w:val="0"/>
              <w:ind w:left="142" w:firstLine="0"/>
              <w:rPr/>
            </w:pPr>
            <w:r w:rsidDel="00000000" w:rsidR="00000000" w:rsidRPr="00000000">
              <w:rPr>
                <w:rtl w:val="0"/>
              </w:rPr>
              <w:t xml:space="preserve">Midterm exams: 75% (each 25%)</w:t>
            </w:r>
          </w:p>
          <w:p w:rsidR="00000000" w:rsidDel="00000000" w:rsidP="00000000" w:rsidRDefault="00000000" w:rsidRPr="00000000" w14:paraId="00000068">
            <w:pPr>
              <w:pageBreakBefore w:val="0"/>
              <w:ind w:left="142" w:firstLine="0"/>
              <w:rPr/>
            </w:pPr>
            <w:r w:rsidDel="00000000" w:rsidR="00000000" w:rsidRPr="00000000">
              <w:rPr>
                <w:rtl w:val="0"/>
              </w:rPr>
              <w:t xml:space="preserve">Homework: 25%</w:t>
            </w:r>
          </w:p>
          <w:p w:rsidR="00000000" w:rsidDel="00000000" w:rsidP="00000000" w:rsidRDefault="00000000" w:rsidRPr="00000000" w14:paraId="00000069">
            <w:pPr>
              <w:pageBreakBefore w:val="0"/>
              <w:ind w:left="142" w:firstLine="0"/>
              <w:rPr/>
            </w:pPr>
            <w:r w:rsidDel="00000000" w:rsidR="00000000" w:rsidRPr="00000000">
              <w:rPr>
                <w:rtl w:val="0"/>
              </w:rPr>
              <w:t xml:space="preserve">Grading scale: </w:t>
            </w:r>
          </w:p>
          <w:p w:rsidR="00000000" w:rsidDel="00000000" w:rsidP="00000000" w:rsidRDefault="00000000" w:rsidRPr="00000000" w14:paraId="0000006A">
            <w:pPr>
              <w:pageBreakBefore w:val="0"/>
              <w:ind w:left="142" w:firstLine="0"/>
              <w:rPr/>
            </w:pPr>
            <w:r w:rsidDel="00000000" w:rsidR="00000000" w:rsidRPr="00000000">
              <w:rPr>
                <w:rtl w:val="0"/>
              </w:rPr>
              <w:t xml:space="preserve">just less than 50% = 1</w:t>
            </w:r>
          </w:p>
          <w:p w:rsidR="00000000" w:rsidDel="00000000" w:rsidP="00000000" w:rsidRDefault="00000000" w:rsidRPr="00000000" w14:paraId="0000006B">
            <w:pPr>
              <w:pageBreakBefore w:val="0"/>
              <w:ind w:left="142" w:firstLine="0"/>
              <w:rPr/>
            </w:pPr>
            <w:r w:rsidDel="00000000" w:rsidR="00000000" w:rsidRPr="00000000">
              <w:rPr>
                <w:rtl w:val="0"/>
              </w:rPr>
              <w:t xml:space="preserve">50 to 64.99% = 2</w:t>
            </w:r>
          </w:p>
          <w:p w:rsidR="00000000" w:rsidDel="00000000" w:rsidP="00000000" w:rsidRDefault="00000000" w:rsidRPr="00000000" w14:paraId="0000006C">
            <w:pPr>
              <w:pageBreakBefore w:val="0"/>
              <w:ind w:left="142" w:firstLine="0"/>
              <w:rPr/>
            </w:pPr>
            <w:r w:rsidDel="00000000" w:rsidR="00000000" w:rsidRPr="00000000">
              <w:rPr>
                <w:rtl w:val="0"/>
              </w:rPr>
              <w:t xml:space="preserve">65 to 74.99% = 3</w:t>
            </w:r>
          </w:p>
          <w:p w:rsidR="00000000" w:rsidDel="00000000" w:rsidP="00000000" w:rsidRDefault="00000000" w:rsidRPr="00000000" w14:paraId="0000006D">
            <w:pPr>
              <w:pageBreakBefore w:val="0"/>
              <w:ind w:left="142" w:firstLine="0"/>
              <w:rPr/>
            </w:pPr>
            <w:r w:rsidDel="00000000" w:rsidR="00000000" w:rsidRPr="00000000">
              <w:rPr>
                <w:rtl w:val="0"/>
              </w:rPr>
              <w:t xml:space="preserve">75 to 84.99% = 4</w:t>
            </w:r>
          </w:p>
          <w:p w:rsidR="00000000" w:rsidDel="00000000" w:rsidP="00000000" w:rsidRDefault="00000000" w:rsidRPr="00000000" w14:paraId="0000006E">
            <w:pPr>
              <w:pageBreakBefore w:val="0"/>
              <w:ind w:left="142" w:firstLine="0"/>
              <w:rPr/>
            </w:pPr>
            <w:r w:rsidDel="00000000" w:rsidR="00000000" w:rsidRPr="00000000">
              <w:rPr>
                <w:rtl w:val="0"/>
              </w:rPr>
              <w:t xml:space="preserve">85+% = 5</w:t>
            </w:r>
          </w:p>
          <w:p w:rsidR="00000000" w:rsidDel="00000000" w:rsidP="00000000" w:rsidRDefault="00000000" w:rsidRPr="00000000" w14:paraId="0000006F">
            <w:pPr>
              <w:pageBreakBefore w:val="0"/>
              <w:ind w:left="142" w:firstLine="0"/>
              <w:rPr/>
            </w:pPr>
            <w:r w:rsidDel="00000000" w:rsidR="00000000" w:rsidRPr="00000000">
              <w:rPr>
                <w:rtl w:val="0"/>
              </w:rPr>
              <w:t xml:space="preserve">Attendance at all activities will be monitored. Students who fail to attend the activities, or to complete the summative or formative assessment specified above, will not gain the credit for the course.</w:t>
            </w:r>
          </w:p>
        </w:tc>
      </w:tr>
      <w:tr>
        <w:trPr>
          <w:cantSplit w:val="0"/>
          <w:tblHeader w:val="0"/>
        </w:trPr>
        <w:tc>
          <w:tcPr>
            <w:gridSpan w:val="5"/>
            <w:tcMar>
              <w:top w:w="57.0" w:type="dxa"/>
              <w:bottom w:w="57.0" w:type="dxa"/>
            </w:tcMar>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75">
            <w:pPr>
              <w:pageBreakBefore w:val="0"/>
              <w:numPr>
                <w:ilvl w:val="0"/>
                <w:numId w:val="1"/>
              </w:numPr>
              <w:ind w:left="720" w:hanging="360"/>
              <w:rPr/>
            </w:pPr>
            <w:r w:rsidDel="00000000" w:rsidR="00000000" w:rsidRPr="00000000">
              <w:rPr>
                <w:rtl w:val="0"/>
              </w:rPr>
              <w:t xml:space="preserve">Earle, S. (2015) </w:t>
            </w:r>
            <w:r w:rsidDel="00000000" w:rsidR="00000000" w:rsidRPr="00000000">
              <w:rPr>
                <w:i w:val="1"/>
                <w:rtl w:val="0"/>
              </w:rPr>
              <w:t xml:space="preserve">Physical geology</w:t>
            </w:r>
            <w:r w:rsidDel="00000000" w:rsidR="00000000" w:rsidRPr="00000000">
              <w:rPr>
                <w:rtl w:val="0"/>
              </w:rPr>
              <w:t xml:space="preserve"> (e-book) </w:t>
            </w:r>
            <w:hyperlink r:id="rId6">
              <w:r w:rsidDel="00000000" w:rsidR="00000000" w:rsidRPr="00000000">
                <w:rPr>
                  <w:color w:val="1155cc"/>
                  <w:u w:val="single"/>
                  <w:rtl w:val="0"/>
                </w:rPr>
                <w:t xml:space="preserve">https://opentextbc.ca/geology/</w:t>
              </w:r>
            </w:hyperlink>
            <w:r w:rsidDel="00000000" w:rsidR="00000000" w:rsidRPr="00000000">
              <w:rPr>
                <w:rtl w:val="0"/>
              </w:rPr>
              <w:t xml:space="preserve"> </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p w:rsidR="00000000" w:rsidDel="00000000" w:rsidP="00000000" w:rsidRDefault="00000000" w:rsidRPr="00000000" w14:paraId="0000007B">
            <w:pPr>
              <w:pageBreakBefore w:val="0"/>
              <w:rPr>
                <w:b w:val="1"/>
              </w:rPr>
            </w:pPr>
            <w:r w:rsidDel="00000000" w:rsidR="00000000" w:rsidRPr="00000000">
              <w:rPr>
                <w:rtl w:val="0"/>
              </w:rPr>
              <w:t xml:space="preserve">Teaching materials and course documentation will be posted on the Neptune MeetStreet website</w:t>
            </w:r>
            <w:r w:rsidDel="00000000" w:rsidR="00000000" w:rsidRPr="00000000">
              <w:rPr>
                <w:rtl w:val="0"/>
              </w:rPr>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80">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81">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82">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83">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87">
            <w:pPr>
              <w:pageBreakBefore w:val="0"/>
              <w:rPr>
                <w:b w:val="1"/>
              </w:rPr>
            </w:pPr>
            <w:r w:rsidDel="00000000" w:rsidR="00000000" w:rsidRPr="00000000">
              <w:rPr>
                <w:rtl w:val="0"/>
              </w:rPr>
            </w:r>
          </w:p>
          <w:p w:rsidR="00000000" w:rsidDel="00000000" w:rsidP="00000000" w:rsidRDefault="00000000" w:rsidRPr="00000000" w14:paraId="00000088">
            <w:pPr>
              <w:pageBreakBefore w:val="0"/>
              <w:rPr/>
            </w:pPr>
            <w:r w:rsidDel="00000000" w:rsidR="00000000" w:rsidRPr="00000000">
              <w:rPr>
                <w:rtl w:val="0"/>
              </w:rPr>
            </w:r>
          </w:p>
          <w:p w:rsidR="00000000" w:rsidDel="00000000" w:rsidP="00000000" w:rsidRDefault="00000000" w:rsidRPr="00000000" w14:paraId="00000089">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8A">
            <w:pPr>
              <w:pageBreakBefore w:val="0"/>
              <w:jc w:val="center"/>
              <w:rPr/>
            </w:pPr>
            <w:r w:rsidDel="00000000" w:rsidR="00000000" w:rsidRPr="00000000">
              <w:rPr>
                <w:rtl w:val="0"/>
              </w:rPr>
              <w:t xml:space="preserve">János KOVÁCS PhD</w:t>
            </w:r>
          </w:p>
          <w:p w:rsidR="00000000" w:rsidDel="00000000" w:rsidP="00000000" w:rsidRDefault="00000000" w:rsidRPr="00000000" w14:paraId="0000008B">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8D">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90">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92">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95">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97">
      <w:pPr>
        <w:pageBreakBefore w:val="0"/>
        <w:rPr/>
      </w:pPr>
      <w:r w:rsidDel="00000000" w:rsidR="00000000" w:rsidRPr="00000000">
        <w:rPr>
          <w:rtl w:val="0"/>
        </w:rPr>
      </w:r>
    </w:p>
    <w:sectPr>
      <w:headerReference r:id="rId7"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99">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9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9B">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
    <w:lvl w:ilvl="0">
      <w:start w:val="1"/>
      <w:numFmt w:val="decimal"/>
      <w:lvlText w:val="Week %1"/>
      <w:lvlJc w:val="left"/>
      <w:pPr>
        <w:ind w:left="0" w:firstLine="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opentextbc.ca/geology/" TargetMode="Externa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