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Urban  Geography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52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6</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Human Geography and Urban Studies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60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Éva MÁTÉ</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40%</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jc w:val="both"/>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The aim of the course is to give an introduction of the fundamental terms, concepts and models regarding the spatiality of human settlements. Students will have an overlook about the differences and similarities in the urbanisation of the different regions around the globe. In the seminars supporting the course students will improve their skills in the field of spatial analysis. They will be able to recognise analyse and interpret the spatial processes, patterns of functions, morphology and social groups in urban and in rural space. They will be able to use databases to support these analysis, classify and evaluate settlements. During the course the students’ skills in individual reading and interpreting scientific papers will be improved, and also their abilities in team-based problem solving, presentation and scientific writing. The curricular goal of the course is to lay down fundamentals to the course of “Urban planning and development” </w:t>
            </w:r>
          </w:p>
          <w:p w:rsidR="00000000" w:rsidDel="00000000" w:rsidP="00000000" w:rsidRDefault="00000000" w:rsidRPr="00000000" w14:paraId="00000041">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7">
            <w:pPr>
              <w:pageBreakBefore w:val="0"/>
              <w:tabs>
                <w:tab w:val="left" w:pos="1276"/>
              </w:tabs>
              <w:jc w:val="both"/>
              <w:rPr>
                <w:b w:val="1"/>
              </w:rPr>
            </w:pPr>
            <w:r w:rsidDel="00000000" w:rsidR="00000000" w:rsidRPr="00000000">
              <w:rPr>
                <w:b w:val="1"/>
                <w:rtl w:val="0"/>
              </w:rPr>
              <w:t xml:space="preserve">Lecture</w:t>
            </w:r>
          </w:p>
          <w:p w:rsidR="00000000" w:rsidDel="00000000" w:rsidP="00000000" w:rsidRDefault="00000000" w:rsidRPr="00000000" w14:paraId="00000048">
            <w:pPr>
              <w:pageBreakBefore w:val="0"/>
              <w:tabs>
                <w:tab w:val="left" w:pos="1276"/>
              </w:tabs>
              <w:jc w:val="both"/>
              <w:rPr>
                <w:b w:val="1"/>
              </w:rPr>
            </w:pPr>
            <w:r w:rsidDel="00000000" w:rsidR="00000000" w:rsidRPr="00000000">
              <w:rPr>
                <w:b w:val="1"/>
                <w:rtl w:val="0"/>
              </w:rPr>
              <w:t xml:space="preserve"> </w:t>
            </w:r>
          </w:p>
          <w:p w:rsidR="00000000" w:rsidDel="00000000" w:rsidP="00000000" w:rsidRDefault="00000000" w:rsidRPr="00000000" w14:paraId="00000049">
            <w:pPr>
              <w:pageBreakBefore w:val="0"/>
              <w:tabs>
                <w:tab w:val="left" w:pos="997"/>
              </w:tabs>
              <w:ind w:left="997" w:hanging="720"/>
              <w:jc w:val="both"/>
              <w:rPr/>
            </w:pPr>
            <w:r w:rsidDel="00000000" w:rsidR="00000000" w:rsidRPr="00000000">
              <w:rPr>
                <w:rtl w:val="0"/>
              </w:rPr>
              <w:t xml:space="preserve">Week 1</w:t>
            </w:r>
            <w:r w:rsidDel="00000000" w:rsidR="00000000" w:rsidRPr="00000000">
              <w:rPr>
                <w:sz w:val="14"/>
                <w:szCs w:val="14"/>
                <w:rtl w:val="0"/>
              </w:rPr>
              <w:t xml:space="preserve">          </w:t>
            </w:r>
            <w:r w:rsidDel="00000000" w:rsidR="00000000" w:rsidRPr="00000000">
              <w:rPr>
                <w:rtl w:val="0"/>
              </w:rPr>
              <w:t xml:space="preserve">Introduction to urban geography: object, goals, role and international research trends.</w:t>
            </w:r>
          </w:p>
          <w:p w:rsidR="00000000" w:rsidDel="00000000" w:rsidP="00000000" w:rsidRDefault="00000000" w:rsidRPr="00000000" w14:paraId="0000004A">
            <w:pPr>
              <w:pageBreakBefore w:val="0"/>
              <w:tabs>
                <w:tab w:val="left" w:pos="997"/>
              </w:tabs>
              <w:ind w:left="997" w:hanging="720"/>
              <w:jc w:val="both"/>
              <w:rPr/>
            </w:pPr>
            <w:r w:rsidDel="00000000" w:rsidR="00000000" w:rsidRPr="00000000">
              <w:rPr>
                <w:rtl w:val="0"/>
              </w:rPr>
              <w:t xml:space="preserve">Week 2</w:t>
            </w:r>
            <w:r w:rsidDel="00000000" w:rsidR="00000000" w:rsidRPr="00000000">
              <w:rPr>
                <w:sz w:val="14"/>
                <w:szCs w:val="14"/>
                <w:rtl w:val="0"/>
              </w:rPr>
              <w:t xml:space="preserve">     </w:t>
            </w:r>
            <w:r w:rsidDel="00000000" w:rsidR="00000000" w:rsidRPr="00000000">
              <w:rPr>
                <w:rtl w:val="0"/>
              </w:rPr>
              <w:t xml:space="preserve">Basic terms and concepts in urban geography. The settlement, the types and classifications of settlements, cities, towns and villages. Basic and central functions of settlements. Walter Christaller’s model of the urban network. Haggett’s model and the role of urban settlements in the space production.</w:t>
            </w:r>
          </w:p>
          <w:p w:rsidR="00000000" w:rsidDel="00000000" w:rsidP="00000000" w:rsidRDefault="00000000" w:rsidRPr="00000000" w14:paraId="0000004B">
            <w:pPr>
              <w:pageBreakBefore w:val="0"/>
              <w:tabs>
                <w:tab w:val="left" w:pos="997"/>
              </w:tabs>
              <w:ind w:left="997" w:hanging="720"/>
              <w:jc w:val="both"/>
              <w:rPr/>
            </w:pPr>
            <w:r w:rsidDel="00000000" w:rsidR="00000000" w:rsidRPr="00000000">
              <w:rPr>
                <w:rtl w:val="0"/>
              </w:rPr>
              <w:t xml:space="preserve">Week 3</w:t>
            </w:r>
            <w:r w:rsidDel="00000000" w:rsidR="00000000" w:rsidRPr="00000000">
              <w:rPr>
                <w:sz w:val="14"/>
                <w:szCs w:val="14"/>
                <w:rtl w:val="0"/>
              </w:rPr>
              <w:t xml:space="preserve">         </w:t>
            </w:r>
            <w:r w:rsidDel="00000000" w:rsidR="00000000" w:rsidRPr="00000000">
              <w:rPr>
                <w:rtl w:val="0"/>
              </w:rPr>
              <w:t xml:space="preserve">The geographical space and the settlements: role of the physical environment.</w:t>
            </w:r>
          </w:p>
          <w:p w:rsidR="00000000" w:rsidDel="00000000" w:rsidP="00000000" w:rsidRDefault="00000000" w:rsidRPr="00000000" w14:paraId="0000004C">
            <w:pPr>
              <w:pageBreakBefore w:val="0"/>
              <w:tabs>
                <w:tab w:val="left" w:pos="997"/>
              </w:tabs>
              <w:ind w:left="997" w:hanging="720"/>
              <w:jc w:val="both"/>
              <w:rPr/>
            </w:pPr>
            <w:r w:rsidDel="00000000" w:rsidR="00000000" w:rsidRPr="00000000">
              <w:rPr>
                <w:rtl w:val="0"/>
              </w:rPr>
              <w:t xml:space="preserve">Week 4</w:t>
            </w:r>
            <w:r w:rsidDel="00000000" w:rsidR="00000000" w:rsidRPr="00000000">
              <w:rPr>
                <w:sz w:val="14"/>
                <w:szCs w:val="14"/>
                <w:rtl w:val="0"/>
              </w:rPr>
              <w:t xml:space="preserve">          </w:t>
            </w:r>
            <w:r w:rsidDel="00000000" w:rsidR="00000000" w:rsidRPr="00000000">
              <w:rPr>
                <w:rtl w:val="0"/>
              </w:rPr>
              <w:t xml:space="preserve">Connections between settlements: networks, hierarchy, catchment area, agglomeration. Urban and rural – dichotomy or continuum?</w:t>
            </w:r>
          </w:p>
          <w:p w:rsidR="00000000" w:rsidDel="00000000" w:rsidP="00000000" w:rsidRDefault="00000000" w:rsidRPr="00000000" w14:paraId="0000004D">
            <w:pPr>
              <w:pageBreakBefore w:val="0"/>
              <w:tabs>
                <w:tab w:val="left" w:pos="997"/>
              </w:tabs>
              <w:ind w:left="997" w:hanging="720"/>
              <w:jc w:val="both"/>
              <w:rPr/>
            </w:pPr>
            <w:r w:rsidDel="00000000" w:rsidR="00000000" w:rsidRPr="00000000">
              <w:rPr>
                <w:rtl w:val="0"/>
              </w:rPr>
              <w:t xml:space="preserve">Week 5</w:t>
            </w:r>
            <w:r w:rsidDel="00000000" w:rsidR="00000000" w:rsidRPr="00000000">
              <w:rPr>
                <w:sz w:val="14"/>
                <w:szCs w:val="14"/>
                <w:rtl w:val="0"/>
              </w:rPr>
              <w:t xml:space="preserve">          </w:t>
            </w:r>
            <w:r w:rsidDel="00000000" w:rsidR="00000000" w:rsidRPr="00000000">
              <w:rPr>
                <w:rtl w:val="0"/>
              </w:rPr>
              <w:t xml:space="preserve">Settlements in rural space. Functional and morphological types of rural settlements.</w:t>
            </w:r>
          </w:p>
          <w:p w:rsidR="00000000" w:rsidDel="00000000" w:rsidP="00000000" w:rsidRDefault="00000000" w:rsidRPr="00000000" w14:paraId="0000004E">
            <w:pPr>
              <w:pageBreakBefore w:val="0"/>
              <w:tabs>
                <w:tab w:val="left" w:pos="997"/>
              </w:tabs>
              <w:ind w:left="997" w:hanging="720"/>
              <w:jc w:val="both"/>
              <w:rPr/>
            </w:pPr>
            <w:r w:rsidDel="00000000" w:rsidR="00000000" w:rsidRPr="00000000">
              <w:rPr>
                <w:rtl w:val="0"/>
              </w:rPr>
              <w:t xml:space="preserve">Week 6</w:t>
            </w:r>
            <w:r w:rsidDel="00000000" w:rsidR="00000000" w:rsidRPr="00000000">
              <w:rPr>
                <w:sz w:val="14"/>
                <w:szCs w:val="14"/>
                <w:rtl w:val="0"/>
              </w:rPr>
              <w:t xml:space="preserve">          </w:t>
            </w:r>
            <w:r w:rsidDel="00000000" w:rsidR="00000000" w:rsidRPr="00000000">
              <w:rPr>
                <w:rtl w:val="0"/>
              </w:rPr>
              <w:t xml:space="preserve">Living in rural: social and economic problems of rural space. Rural restructuring and the post-rural space.</w:t>
            </w:r>
          </w:p>
          <w:p w:rsidR="00000000" w:rsidDel="00000000" w:rsidP="00000000" w:rsidRDefault="00000000" w:rsidRPr="00000000" w14:paraId="0000004F">
            <w:pPr>
              <w:pageBreakBefore w:val="0"/>
              <w:tabs>
                <w:tab w:val="left" w:pos="997"/>
              </w:tabs>
              <w:ind w:left="997" w:hanging="720"/>
              <w:jc w:val="both"/>
              <w:rPr/>
            </w:pPr>
            <w:r w:rsidDel="00000000" w:rsidR="00000000" w:rsidRPr="00000000">
              <w:rPr>
                <w:rtl w:val="0"/>
              </w:rPr>
              <w:t xml:space="preserve">Week 7</w:t>
            </w:r>
            <w:r w:rsidDel="00000000" w:rsidR="00000000" w:rsidRPr="00000000">
              <w:rPr>
                <w:sz w:val="14"/>
                <w:szCs w:val="14"/>
                <w:rtl w:val="0"/>
              </w:rPr>
              <w:t xml:space="preserve">          </w:t>
            </w:r>
            <w:r w:rsidDel="00000000" w:rsidR="00000000" w:rsidRPr="00000000">
              <w:rPr>
                <w:rtl w:val="0"/>
              </w:rPr>
              <w:t xml:space="preserve">The temporality of urbanisation: before and after the industrial revolution.</w:t>
            </w:r>
          </w:p>
          <w:p w:rsidR="00000000" w:rsidDel="00000000" w:rsidP="00000000" w:rsidRDefault="00000000" w:rsidRPr="00000000" w14:paraId="00000050">
            <w:pPr>
              <w:pageBreakBefore w:val="0"/>
              <w:tabs>
                <w:tab w:val="left" w:pos="997"/>
              </w:tabs>
              <w:ind w:left="997" w:hanging="720"/>
              <w:jc w:val="both"/>
              <w:rPr/>
            </w:pPr>
            <w:r w:rsidDel="00000000" w:rsidR="00000000" w:rsidRPr="00000000">
              <w:rPr>
                <w:rtl w:val="0"/>
              </w:rPr>
              <w:t xml:space="preserve">Week 8</w:t>
            </w:r>
            <w:r w:rsidDel="00000000" w:rsidR="00000000" w:rsidRPr="00000000">
              <w:rPr>
                <w:sz w:val="14"/>
                <w:szCs w:val="14"/>
                <w:rtl w:val="0"/>
              </w:rPr>
              <w:t xml:space="preserve">          </w:t>
            </w:r>
            <w:r w:rsidDel="00000000" w:rsidR="00000000" w:rsidRPr="00000000">
              <w:rPr>
                <w:rtl w:val="0"/>
              </w:rPr>
              <w:t xml:space="preserve">Overall trends of the postmodern urbanisation in 21</w:t>
            </w:r>
            <w:r w:rsidDel="00000000" w:rsidR="00000000" w:rsidRPr="00000000">
              <w:rPr>
                <w:vertAlign w:val="superscript"/>
                <w:rtl w:val="0"/>
              </w:rPr>
              <w:t xml:space="preserve">st</w:t>
            </w:r>
            <w:r w:rsidDel="00000000" w:rsidR="00000000" w:rsidRPr="00000000">
              <w:rPr>
                <w:rtl w:val="0"/>
              </w:rPr>
              <w:t xml:space="preserve"> century. Suburbanisation and consequences. Counter urbanisation, urban sprawl, post-suburbanisation.</w:t>
            </w:r>
          </w:p>
          <w:p w:rsidR="00000000" w:rsidDel="00000000" w:rsidP="00000000" w:rsidRDefault="00000000" w:rsidRPr="00000000" w14:paraId="00000051">
            <w:pPr>
              <w:pageBreakBefore w:val="0"/>
              <w:tabs>
                <w:tab w:val="left" w:pos="997"/>
              </w:tabs>
              <w:ind w:left="997" w:hanging="720"/>
              <w:jc w:val="both"/>
              <w:rPr/>
            </w:pPr>
            <w:r w:rsidDel="00000000" w:rsidR="00000000" w:rsidRPr="00000000">
              <w:rPr>
                <w:rtl w:val="0"/>
              </w:rPr>
              <w:t xml:space="preserve">Week 9</w:t>
            </w:r>
            <w:r w:rsidDel="00000000" w:rsidR="00000000" w:rsidRPr="00000000">
              <w:rPr>
                <w:sz w:val="14"/>
                <w:szCs w:val="14"/>
                <w:rtl w:val="0"/>
              </w:rPr>
              <w:t xml:space="preserve">          </w:t>
            </w:r>
            <w:r w:rsidDel="00000000" w:rsidR="00000000" w:rsidRPr="00000000">
              <w:rPr>
                <w:rtl w:val="0"/>
              </w:rPr>
              <w:t xml:space="preserve">The inner structure of the urban space. Functions and social groups in urban space. Segregation, gentrification, spatial conflicts. Models of urban space.</w:t>
            </w:r>
          </w:p>
          <w:p w:rsidR="00000000" w:rsidDel="00000000" w:rsidP="00000000" w:rsidRDefault="00000000" w:rsidRPr="00000000" w14:paraId="00000052">
            <w:pPr>
              <w:pageBreakBefore w:val="0"/>
              <w:tabs>
                <w:tab w:val="left" w:pos="997"/>
              </w:tabs>
              <w:ind w:left="997" w:hanging="720"/>
              <w:jc w:val="both"/>
              <w:rPr/>
            </w:pPr>
            <w:r w:rsidDel="00000000" w:rsidR="00000000" w:rsidRPr="00000000">
              <w:rPr>
                <w:rtl w:val="0"/>
              </w:rPr>
              <w:t xml:space="preserve">Week 10</w:t>
            </w:r>
            <w:r w:rsidDel="00000000" w:rsidR="00000000" w:rsidRPr="00000000">
              <w:rPr>
                <w:sz w:val="14"/>
                <w:szCs w:val="14"/>
                <w:rtl w:val="0"/>
              </w:rPr>
              <w:t xml:space="preserve">       </w:t>
            </w:r>
            <w:r w:rsidDel="00000000" w:rsidR="00000000" w:rsidRPr="00000000">
              <w:rPr>
                <w:rtl w:val="0"/>
              </w:rPr>
              <w:t xml:space="preserve">Regional differences of the urbanisation. The different models of the urban development and urban space use in the American, European, Latin-American, Asian and African cities.</w:t>
            </w:r>
          </w:p>
          <w:p w:rsidR="00000000" w:rsidDel="00000000" w:rsidP="00000000" w:rsidRDefault="00000000" w:rsidRPr="00000000" w14:paraId="00000053">
            <w:pPr>
              <w:pageBreakBefore w:val="0"/>
              <w:tabs>
                <w:tab w:val="left" w:pos="997"/>
              </w:tabs>
              <w:ind w:left="997" w:hanging="720"/>
              <w:jc w:val="both"/>
              <w:rPr/>
            </w:pPr>
            <w:r w:rsidDel="00000000" w:rsidR="00000000" w:rsidRPr="00000000">
              <w:rPr>
                <w:rtl w:val="0"/>
              </w:rPr>
              <w:t xml:space="preserve">Week 11</w:t>
            </w:r>
            <w:r w:rsidDel="00000000" w:rsidR="00000000" w:rsidRPr="00000000">
              <w:rPr>
                <w:sz w:val="14"/>
                <w:szCs w:val="14"/>
                <w:rtl w:val="0"/>
              </w:rPr>
              <w:t xml:space="preserve">       </w:t>
            </w:r>
            <w:r w:rsidDel="00000000" w:rsidR="00000000" w:rsidRPr="00000000">
              <w:rPr>
                <w:rtl w:val="0"/>
              </w:rPr>
              <w:t xml:space="preserve">The socialist and post-socialist urbanisation.</w:t>
            </w:r>
          </w:p>
          <w:p w:rsidR="00000000" w:rsidDel="00000000" w:rsidP="00000000" w:rsidRDefault="00000000" w:rsidRPr="00000000" w14:paraId="00000054">
            <w:pPr>
              <w:pageBreakBefore w:val="0"/>
              <w:tabs>
                <w:tab w:val="left" w:pos="997"/>
              </w:tabs>
              <w:ind w:left="997" w:hanging="720"/>
              <w:jc w:val="both"/>
              <w:rPr/>
            </w:pPr>
            <w:r w:rsidDel="00000000" w:rsidR="00000000" w:rsidRPr="00000000">
              <w:rPr>
                <w:rtl w:val="0"/>
              </w:rPr>
              <w:t xml:space="preserve">Week 12</w:t>
            </w:r>
            <w:r w:rsidDel="00000000" w:rsidR="00000000" w:rsidRPr="00000000">
              <w:rPr>
                <w:sz w:val="14"/>
                <w:szCs w:val="14"/>
                <w:rtl w:val="0"/>
              </w:rPr>
              <w:t xml:space="preserve">       </w:t>
            </w:r>
            <w:r w:rsidDel="00000000" w:rsidR="00000000" w:rsidRPr="00000000">
              <w:rPr>
                <w:rtl w:val="0"/>
              </w:rPr>
              <w:t xml:space="preserve">Cities and globalisation. Cities as the fundaments of the 21</w:t>
            </w:r>
            <w:r w:rsidDel="00000000" w:rsidR="00000000" w:rsidRPr="00000000">
              <w:rPr>
                <w:vertAlign w:val="superscript"/>
                <w:rtl w:val="0"/>
              </w:rPr>
              <w:t xml:space="preserve">st</w:t>
            </w:r>
            <w:r w:rsidDel="00000000" w:rsidR="00000000" w:rsidRPr="00000000">
              <w:rPr>
                <w:rtl w:val="0"/>
              </w:rPr>
              <w:t xml:space="preserve"> spatial structure. Competitiveness and success of cities.</w:t>
            </w:r>
          </w:p>
          <w:p w:rsidR="00000000" w:rsidDel="00000000" w:rsidP="00000000" w:rsidRDefault="00000000" w:rsidRPr="00000000" w14:paraId="00000055">
            <w:pPr>
              <w:pageBreakBefore w:val="0"/>
              <w:tabs>
                <w:tab w:val="left" w:pos="997"/>
              </w:tabs>
              <w:ind w:left="997" w:hanging="720"/>
              <w:jc w:val="both"/>
              <w:rPr/>
            </w:pPr>
            <w:r w:rsidDel="00000000" w:rsidR="00000000" w:rsidRPr="00000000">
              <w:rPr>
                <w:rtl w:val="0"/>
              </w:rPr>
              <w:t xml:space="preserve">Week 13</w:t>
            </w:r>
            <w:r w:rsidDel="00000000" w:rsidR="00000000" w:rsidRPr="00000000">
              <w:rPr>
                <w:sz w:val="14"/>
                <w:szCs w:val="14"/>
                <w:rtl w:val="0"/>
              </w:rPr>
              <w:t xml:space="preserve">       </w:t>
            </w:r>
            <w:r w:rsidDel="00000000" w:rsidR="00000000" w:rsidRPr="00000000">
              <w:rPr>
                <w:rtl w:val="0"/>
              </w:rPr>
              <w:t xml:space="preserve">Challenges of the present and the near future: shrinking, sustainability, resilience.</w:t>
            </w:r>
          </w:p>
          <w:p w:rsidR="00000000" w:rsidDel="00000000" w:rsidP="00000000" w:rsidRDefault="00000000" w:rsidRPr="00000000" w14:paraId="00000056">
            <w:pPr>
              <w:pageBreakBefore w:val="0"/>
              <w:tabs>
                <w:tab w:val="left" w:pos="997"/>
              </w:tabs>
              <w:ind w:left="997" w:hanging="720"/>
              <w:jc w:val="both"/>
              <w:rPr/>
            </w:pPr>
            <w:r w:rsidDel="00000000" w:rsidR="00000000" w:rsidRPr="00000000">
              <w:rPr>
                <w:rtl w:val="0"/>
              </w:rPr>
              <w:t xml:space="preserve"> </w:t>
            </w:r>
          </w:p>
          <w:p w:rsidR="00000000" w:rsidDel="00000000" w:rsidP="00000000" w:rsidRDefault="00000000" w:rsidRPr="00000000" w14:paraId="00000057">
            <w:pPr>
              <w:pageBreakBefore w:val="0"/>
              <w:tabs>
                <w:tab w:val="left" w:pos="1276"/>
              </w:tabs>
              <w:jc w:val="both"/>
              <w:rPr>
                <w:b w:val="1"/>
              </w:rPr>
            </w:pPr>
            <w:r w:rsidDel="00000000" w:rsidR="00000000" w:rsidRPr="00000000">
              <w:rPr>
                <w:b w:val="1"/>
                <w:rtl w:val="0"/>
              </w:rPr>
              <w:t xml:space="preserve">Seminar</w:t>
            </w:r>
          </w:p>
          <w:p w:rsidR="00000000" w:rsidDel="00000000" w:rsidP="00000000" w:rsidRDefault="00000000" w:rsidRPr="00000000" w14:paraId="00000058">
            <w:pPr>
              <w:pageBreakBefore w:val="0"/>
              <w:tabs>
                <w:tab w:val="left" w:pos="1276"/>
              </w:tabs>
              <w:ind w:left="2280" w:hanging="1000"/>
              <w:jc w:val="both"/>
              <w:rPr/>
            </w:pPr>
            <w:r w:rsidDel="00000000" w:rsidR="00000000" w:rsidRPr="00000000">
              <w:rPr>
                <w:rtl w:val="0"/>
              </w:rPr>
              <w:t xml:space="preserve"> </w:t>
            </w:r>
          </w:p>
          <w:p w:rsidR="00000000" w:rsidDel="00000000" w:rsidP="00000000" w:rsidRDefault="00000000" w:rsidRPr="00000000" w14:paraId="00000059">
            <w:pPr>
              <w:pageBreakBefore w:val="0"/>
              <w:tabs>
                <w:tab w:val="left" w:pos="1276"/>
              </w:tabs>
              <w:ind w:left="140" w:firstLine="0"/>
              <w:jc w:val="both"/>
              <w:rPr/>
            </w:pPr>
            <w:r w:rsidDel="00000000" w:rsidR="00000000" w:rsidRPr="00000000">
              <w:rPr>
                <w:rtl w:val="0"/>
              </w:rPr>
              <w:t xml:space="preserve">Week 1</w:t>
            </w:r>
            <w:r w:rsidDel="00000000" w:rsidR="00000000" w:rsidRPr="00000000">
              <w:rPr>
                <w:sz w:val="14"/>
                <w:szCs w:val="14"/>
                <w:rtl w:val="0"/>
              </w:rPr>
              <w:t xml:space="preserve">              </w:t>
            </w:r>
            <w:r w:rsidDel="00000000" w:rsidR="00000000" w:rsidRPr="00000000">
              <w:rPr>
                <w:rtl w:val="0"/>
              </w:rPr>
              <w:t xml:space="preserve">Introduction, tasks and evaluation of the semester.</w:t>
            </w:r>
          </w:p>
          <w:p w:rsidR="00000000" w:rsidDel="00000000" w:rsidP="00000000" w:rsidRDefault="00000000" w:rsidRPr="00000000" w14:paraId="0000005A">
            <w:pPr>
              <w:pageBreakBefore w:val="0"/>
              <w:tabs>
                <w:tab w:val="left" w:pos="1276"/>
              </w:tabs>
              <w:ind w:left="140" w:firstLine="0"/>
              <w:jc w:val="both"/>
              <w:rPr/>
            </w:pPr>
            <w:r w:rsidDel="00000000" w:rsidR="00000000" w:rsidRPr="00000000">
              <w:rPr>
                <w:rtl w:val="0"/>
              </w:rPr>
              <w:t xml:space="preserve">Week 2</w:t>
            </w:r>
            <w:r w:rsidDel="00000000" w:rsidR="00000000" w:rsidRPr="00000000">
              <w:rPr>
                <w:sz w:val="14"/>
                <w:szCs w:val="14"/>
                <w:rtl w:val="0"/>
              </w:rPr>
              <w:t xml:space="preserve">              </w:t>
            </w:r>
            <w:r w:rsidDel="00000000" w:rsidR="00000000" w:rsidRPr="00000000">
              <w:rPr>
                <w:rtl w:val="0"/>
              </w:rPr>
              <w:t xml:space="preserve">Urban or rural? Formal and functional urbanisation in practice.</w:t>
            </w:r>
          </w:p>
          <w:p w:rsidR="00000000" w:rsidDel="00000000" w:rsidP="00000000" w:rsidRDefault="00000000" w:rsidRPr="00000000" w14:paraId="0000005B">
            <w:pPr>
              <w:pageBreakBefore w:val="0"/>
              <w:tabs>
                <w:tab w:val="left" w:pos="1276"/>
              </w:tabs>
              <w:ind w:left="140" w:firstLine="0"/>
              <w:jc w:val="both"/>
              <w:rPr/>
            </w:pPr>
            <w:r w:rsidDel="00000000" w:rsidR="00000000" w:rsidRPr="00000000">
              <w:rPr>
                <w:rtl w:val="0"/>
              </w:rPr>
              <w:t xml:space="preserve">Week 3</w:t>
            </w:r>
            <w:r w:rsidDel="00000000" w:rsidR="00000000" w:rsidRPr="00000000">
              <w:rPr>
                <w:sz w:val="14"/>
                <w:szCs w:val="14"/>
                <w:rtl w:val="0"/>
              </w:rPr>
              <w:t xml:space="preserve">              </w:t>
            </w:r>
            <w:r w:rsidDel="00000000" w:rsidR="00000000" w:rsidRPr="00000000">
              <w:rPr>
                <w:rtl w:val="0"/>
              </w:rPr>
              <w:t xml:space="preserve">Practical task: the physical environment and settlement development.</w:t>
            </w:r>
          </w:p>
          <w:p w:rsidR="00000000" w:rsidDel="00000000" w:rsidP="00000000" w:rsidRDefault="00000000" w:rsidRPr="00000000" w14:paraId="0000005C">
            <w:pPr>
              <w:pageBreakBefore w:val="0"/>
              <w:tabs>
                <w:tab w:val="left" w:pos="1276"/>
              </w:tabs>
              <w:ind w:left="140" w:firstLine="0"/>
              <w:jc w:val="both"/>
              <w:rPr/>
            </w:pPr>
            <w:r w:rsidDel="00000000" w:rsidR="00000000" w:rsidRPr="00000000">
              <w:rPr>
                <w:rtl w:val="0"/>
              </w:rPr>
              <w:t xml:space="preserve">Week 4</w:t>
            </w:r>
            <w:r w:rsidDel="00000000" w:rsidR="00000000" w:rsidRPr="00000000">
              <w:rPr>
                <w:sz w:val="14"/>
                <w:szCs w:val="14"/>
                <w:rtl w:val="0"/>
              </w:rPr>
              <w:t xml:space="preserve">              </w:t>
            </w:r>
            <w:r w:rsidDel="00000000" w:rsidR="00000000" w:rsidRPr="00000000">
              <w:rPr>
                <w:rtl w:val="0"/>
              </w:rPr>
              <w:t xml:space="preserve">Recognising and enclose catchment areas with statistical analysis.</w:t>
            </w:r>
          </w:p>
          <w:p w:rsidR="00000000" w:rsidDel="00000000" w:rsidP="00000000" w:rsidRDefault="00000000" w:rsidRPr="00000000" w14:paraId="0000005D">
            <w:pPr>
              <w:pageBreakBefore w:val="0"/>
              <w:tabs>
                <w:tab w:val="left" w:pos="1276"/>
              </w:tabs>
              <w:ind w:left="140" w:firstLine="0"/>
              <w:jc w:val="both"/>
              <w:rPr/>
            </w:pPr>
            <w:r w:rsidDel="00000000" w:rsidR="00000000" w:rsidRPr="00000000">
              <w:rPr>
                <w:rtl w:val="0"/>
              </w:rPr>
              <w:t xml:space="preserve">Week 5</w:t>
            </w:r>
            <w:r w:rsidDel="00000000" w:rsidR="00000000" w:rsidRPr="00000000">
              <w:rPr>
                <w:sz w:val="14"/>
                <w:szCs w:val="14"/>
                <w:rtl w:val="0"/>
              </w:rPr>
              <w:t xml:space="preserve">              </w:t>
            </w:r>
            <w:r w:rsidDel="00000000" w:rsidR="00000000" w:rsidRPr="00000000">
              <w:rPr>
                <w:rtl w:val="0"/>
              </w:rPr>
              <w:t xml:space="preserve">Development and functional types of villages: classification with statistical methods.</w:t>
            </w:r>
          </w:p>
          <w:p w:rsidR="00000000" w:rsidDel="00000000" w:rsidP="00000000" w:rsidRDefault="00000000" w:rsidRPr="00000000" w14:paraId="0000005E">
            <w:pPr>
              <w:pageBreakBefore w:val="0"/>
              <w:tabs>
                <w:tab w:val="left" w:pos="1276"/>
              </w:tabs>
              <w:ind w:left="140" w:firstLine="0"/>
              <w:jc w:val="both"/>
              <w:rPr/>
            </w:pPr>
            <w:r w:rsidDel="00000000" w:rsidR="00000000" w:rsidRPr="00000000">
              <w:rPr>
                <w:rtl w:val="0"/>
              </w:rPr>
              <w:t xml:space="preserve">Week 6</w:t>
            </w:r>
            <w:r w:rsidDel="00000000" w:rsidR="00000000" w:rsidRPr="00000000">
              <w:rPr>
                <w:sz w:val="14"/>
                <w:szCs w:val="14"/>
                <w:rtl w:val="0"/>
              </w:rPr>
              <w:t xml:space="preserve">              </w:t>
            </w:r>
            <w:r w:rsidDel="00000000" w:rsidR="00000000" w:rsidRPr="00000000">
              <w:rPr>
                <w:rtl w:val="0"/>
              </w:rPr>
              <w:t xml:space="preserve">Rural areas rural habitus around the globe: individual processing of written sources.</w:t>
            </w:r>
          </w:p>
          <w:p w:rsidR="00000000" w:rsidDel="00000000" w:rsidP="00000000" w:rsidRDefault="00000000" w:rsidRPr="00000000" w14:paraId="0000005F">
            <w:pPr>
              <w:pageBreakBefore w:val="0"/>
              <w:tabs>
                <w:tab w:val="left" w:pos="1276"/>
              </w:tabs>
              <w:ind w:left="140" w:firstLine="0"/>
              <w:jc w:val="both"/>
              <w:rPr/>
            </w:pPr>
            <w:r w:rsidDel="00000000" w:rsidR="00000000" w:rsidRPr="00000000">
              <w:rPr>
                <w:rtl w:val="0"/>
              </w:rPr>
              <w:t xml:space="preserve">Week 7</w:t>
            </w:r>
            <w:r w:rsidDel="00000000" w:rsidR="00000000" w:rsidRPr="00000000">
              <w:rPr>
                <w:sz w:val="14"/>
                <w:szCs w:val="14"/>
                <w:rtl w:val="0"/>
              </w:rPr>
              <w:t xml:space="preserve">              </w:t>
            </w:r>
            <w:r w:rsidDel="00000000" w:rsidR="00000000" w:rsidRPr="00000000">
              <w:rPr>
                <w:rtl w:val="0"/>
              </w:rPr>
              <w:t xml:space="preserve">Rural areas rural habitus around the globe: individual processing of written sources II.</w:t>
            </w:r>
          </w:p>
          <w:p w:rsidR="00000000" w:rsidDel="00000000" w:rsidP="00000000" w:rsidRDefault="00000000" w:rsidRPr="00000000" w14:paraId="00000060">
            <w:pPr>
              <w:pageBreakBefore w:val="0"/>
              <w:tabs>
                <w:tab w:val="left" w:pos="1276"/>
              </w:tabs>
              <w:ind w:left="140" w:firstLine="0"/>
              <w:jc w:val="both"/>
              <w:rPr/>
            </w:pPr>
            <w:r w:rsidDel="00000000" w:rsidR="00000000" w:rsidRPr="00000000">
              <w:rPr>
                <w:rtl w:val="0"/>
              </w:rPr>
              <w:t xml:space="preserve">Week 8</w:t>
            </w:r>
            <w:r w:rsidDel="00000000" w:rsidR="00000000" w:rsidRPr="00000000">
              <w:rPr>
                <w:sz w:val="14"/>
                <w:szCs w:val="14"/>
                <w:rtl w:val="0"/>
              </w:rPr>
              <w:t xml:space="preserve">              </w:t>
            </w:r>
            <w:r w:rsidDel="00000000" w:rsidR="00000000" w:rsidRPr="00000000">
              <w:rPr>
                <w:rtl w:val="0"/>
              </w:rPr>
              <w:t xml:space="preserve">Preparation for field work: group and individual work with written and map sources.</w:t>
            </w:r>
          </w:p>
          <w:p w:rsidR="00000000" w:rsidDel="00000000" w:rsidP="00000000" w:rsidRDefault="00000000" w:rsidRPr="00000000" w14:paraId="00000061">
            <w:pPr>
              <w:pageBreakBefore w:val="0"/>
              <w:tabs>
                <w:tab w:val="left" w:pos="1276"/>
              </w:tabs>
              <w:ind w:left="140" w:firstLine="0"/>
              <w:jc w:val="both"/>
              <w:rPr/>
            </w:pPr>
            <w:r w:rsidDel="00000000" w:rsidR="00000000" w:rsidRPr="00000000">
              <w:rPr>
                <w:rtl w:val="0"/>
              </w:rPr>
              <w:t xml:space="preserve">Week 9</w:t>
            </w:r>
            <w:r w:rsidDel="00000000" w:rsidR="00000000" w:rsidRPr="00000000">
              <w:rPr>
                <w:sz w:val="14"/>
                <w:szCs w:val="14"/>
                <w:rtl w:val="0"/>
              </w:rPr>
              <w:t xml:space="preserve">              </w:t>
            </w:r>
            <w:r w:rsidDel="00000000" w:rsidR="00000000" w:rsidRPr="00000000">
              <w:rPr>
                <w:rtl w:val="0"/>
              </w:rPr>
              <w:t xml:space="preserve">Preparation for field work: group and individual work with written and map sources. II.</w:t>
            </w:r>
          </w:p>
          <w:p w:rsidR="00000000" w:rsidDel="00000000" w:rsidP="00000000" w:rsidRDefault="00000000" w:rsidRPr="00000000" w14:paraId="00000062">
            <w:pPr>
              <w:pageBreakBefore w:val="0"/>
              <w:tabs>
                <w:tab w:val="left" w:pos="1276"/>
              </w:tabs>
              <w:ind w:left="140" w:firstLine="0"/>
              <w:jc w:val="both"/>
              <w:rPr/>
            </w:pPr>
            <w:r w:rsidDel="00000000" w:rsidR="00000000" w:rsidRPr="00000000">
              <w:rPr>
                <w:rtl w:val="0"/>
              </w:rPr>
              <w:t xml:space="preserve">Week 10</w:t>
            </w:r>
            <w:r w:rsidDel="00000000" w:rsidR="00000000" w:rsidRPr="00000000">
              <w:rPr>
                <w:sz w:val="14"/>
                <w:szCs w:val="14"/>
                <w:rtl w:val="0"/>
              </w:rPr>
              <w:t xml:space="preserve">           </w:t>
            </w:r>
            <w:r w:rsidDel="00000000" w:rsidR="00000000" w:rsidRPr="00000000">
              <w:rPr>
                <w:rtl w:val="0"/>
              </w:rPr>
              <w:t xml:space="preserve">Global differences in urbanisation: elaboration of video sources.</w:t>
            </w:r>
          </w:p>
          <w:p w:rsidR="00000000" w:rsidDel="00000000" w:rsidP="00000000" w:rsidRDefault="00000000" w:rsidRPr="00000000" w14:paraId="00000063">
            <w:pPr>
              <w:pageBreakBefore w:val="0"/>
              <w:tabs>
                <w:tab w:val="left" w:pos="1276"/>
              </w:tabs>
              <w:ind w:left="140" w:firstLine="0"/>
              <w:jc w:val="both"/>
              <w:rPr/>
            </w:pPr>
            <w:r w:rsidDel="00000000" w:rsidR="00000000" w:rsidRPr="00000000">
              <w:rPr>
                <w:rtl w:val="0"/>
              </w:rPr>
              <w:t xml:space="preserve">Week 11</w:t>
            </w:r>
            <w:r w:rsidDel="00000000" w:rsidR="00000000" w:rsidRPr="00000000">
              <w:rPr>
                <w:sz w:val="14"/>
                <w:szCs w:val="14"/>
                <w:rtl w:val="0"/>
              </w:rPr>
              <w:t xml:space="preserve">           </w:t>
            </w:r>
            <w:r w:rsidDel="00000000" w:rsidR="00000000" w:rsidRPr="00000000">
              <w:rPr>
                <w:rtl w:val="0"/>
              </w:rPr>
              <w:t xml:space="preserve">Global differences in urbanisation: elaboration of video sources II.</w:t>
            </w:r>
          </w:p>
          <w:p w:rsidR="00000000" w:rsidDel="00000000" w:rsidP="00000000" w:rsidRDefault="00000000" w:rsidRPr="00000000" w14:paraId="00000064">
            <w:pPr>
              <w:pageBreakBefore w:val="0"/>
              <w:tabs>
                <w:tab w:val="left" w:pos="1276"/>
              </w:tabs>
              <w:ind w:left="140" w:firstLine="0"/>
              <w:jc w:val="both"/>
              <w:rPr/>
            </w:pPr>
            <w:r w:rsidDel="00000000" w:rsidR="00000000" w:rsidRPr="00000000">
              <w:rPr>
                <w:rtl w:val="0"/>
              </w:rPr>
              <w:t xml:space="preserve">Week 12</w:t>
            </w:r>
            <w:r w:rsidDel="00000000" w:rsidR="00000000" w:rsidRPr="00000000">
              <w:rPr>
                <w:sz w:val="14"/>
                <w:szCs w:val="14"/>
                <w:rtl w:val="0"/>
              </w:rPr>
              <w:t xml:space="preserve">           </w:t>
            </w:r>
            <w:r w:rsidDel="00000000" w:rsidR="00000000" w:rsidRPr="00000000">
              <w:rPr>
                <w:rtl w:val="0"/>
              </w:rPr>
              <w:t xml:space="preserve">The socialist city: written sources.</w:t>
            </w:r>
          </w:p>
          <w:p w:rsidR="00000000" w:rsidDel="00000000" w:rsidP="00000000" w:rsidRDefault="00000000" w:rsidRPr="00000000" w14:paraId="00000065">
            <w:pPr>
              <w:pageBreakBefore w:val="0"/>
              <w:tabs>
                <w:tab w:val="left" w:pos="1276"/>
              </w:tabs>
              <w:ind w:left="140" w:firstLine="0"/>
              <w:jc w:val="both"/>
              <w:rPr/>
            </w:pPr>
            <w:r w:rsidDel="00000000" w:rsidR="00000000" w:rsidRPr="00000000">
              <w:rPr>
                <w:rtl w:val="0"/>
              </w:rPr>
              <w:t xml:space="preserve">Week 13</w:t>
            </w:r>
            <w:r w:rsidDel="00000000" w:rsidR="00000000" w:rsidRPr="00000000">
              <w:rPr>
                <w:sz w:val="14"/>
                <w:szCs w:val="14"/>
                <w:rtl w:val="0"/>
              </w:rPr>
              <w:t xml:space="preserve">           </w:t>
            </w:r>
            <w:r w:rsidDel="00000000" w:rsidR="00000000" w:rsidRPr="00000000">
              <w:rPr>
                <w:rtl w:val="0"/>
              </w:rPr>
              <w:t xml:space="preserve">Evaluation of the fieldwork.</w:t>
            </w:r>
          </w:p>
          <w:p w:rsidR="00000000" w:rsidDel="00000000" w:rsidP="00000000" w:rsidRDefault="00000000" w:rsidRPr="00000000" w14:paraId="00000066">
            <w:pPr>
              <w:pageBreakBefore w:val="0"/>
              <w:tabs>
                <w:tab w:val="left" w:pos="1276"/>
              </w:tabs>
              <w:ind w:left="2280" w:hanging="1000"/>
              <w:jc w:val="both"/>
              <w:rPr/>
            </w:pPr>
            <w:r w:rsidDel="00000000" w:rsidR="00000000" w:rsidRPr="00000000">
              <w:rPr>
                <w:rtl w:val="0"/>
              </w:rPr>
              <w:t xml:space="preserve"> </w:t>
            </w:r>
          </w:p>
          <w:p w:rsidR="00000000" w:rsidDel="00000000" w:rsidP="00000000" w:rsidRDefault="00000000" w:rsidRPr="00000000" w14:paraId="00000067">
            <w:pPr>
              <w:pageBreakBefore w:val="0"/>
              <w:tabs>
                <w:tab w:val="left" w:pos="1276"/>
              </w:tabs>
              <w:jc w:val="both"/>
              <w:rPr>
                <w:b w:val="1"/>
              </w:rPr>
            </w:pPr>
            <w:r w:rsidDel="00000000" w:rsidR="00000000" w:rsidRPr="00000000">
              <w:rPr>
                <w:b w:val="1"/>
                <w:rtl w:val="0"/>
              </w:rPr>
              <w:t xml:space="preserve">Field work</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Planned on the week 10-11</w:t>
            </w:r>
            <w:r w:rsidDel="00000000" w:rsidR="00000000" w:rsidRPr="00000000">
              <w:rPr>
                <w:vertAlign w:val="superscript"/>
                <w:rtl w:val="0"/>
              </w:rPr>
              <w:t xml:space="preserve">th</w:t>
            </w:r>
            <w:r w:rsidDel="00000000" w:rsidR="00000000" w:rsidRPr="00000000">
              <w:rPr>
                <w:rtl w:val="0"/>
              </w:rPr>
              <w:t xml:space="preserve"> (regarding the weather conditions), two times four hours program. 4 hours guided geographical tour in one of the representative districts of Pécs (socialist and post-socialist urbanisation, segregation, gentrification), focusing on the spatial appearance of some topics related in lectures and seminars. in the second half an individual survey task will be given to the students. This will be presented and evaluated during the seminars. Both element (tour and survey) will be prepared in the seminars.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r>
          </w:p>
          <w:p w:rsidR="00000000" w:rsidDel="00000000" w:rsidP="00000000" w:rsidRDefault="00000000" w:rsidRPr="00000000" w14:paraId="0000006B">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0">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71">
            <w:pPr>
              <w:pageBreakBefore w:val="0"/>
              <w:tabs>
                <w:tab w:val="left" w:pos="859"/>
              </w:tabs>
              <w:ind w:left="140" w:firstLine="0"/>
              <w:jc w:val="both"/>
              <w:rPr>
                <w:sz w:val="22"/>
                <w:szCs w:val="22"/>
              </w:rPr>
            </w:pPr>
            <w:r w:rsidDel="00000000" w:rsidR="00000000" w:rsidRPr="00000000">
              <w:rPr>
                <w:sz w:val="22"/>
                <w:szCs w:val="22"/>
                <w:rtl w:val="0"/>
              </w:rPr>
              <w:t xml:space="preserve">Week 1</w:t>
            </w:r>
            <w:r w:rsidDel="00000000" w:rsidR="00000000" w:rsidRPr="00000000">
              <w:rPr>
                <w:sz w:val="14"/>
                <w:szCs w:val="14"/>
                <w:rtl w:val="0"/>
              </w:rPr>
              <w:t xml:space="preserve">              </w:t>
            </w:r>
            <w:r w:rsidDel="00000000" w:rsidR="00000000" w:rsidRPr="00000000">
              <w:rPr>
                <w:sz w:val="22"/>
                <w:szCs w:val="22"/>
                <w:rtl w:val="0"/>
              </w:rPr>
              <w:t xml:space="preserve">–</w:t>
            </w:r>
          </w:p>
          <w:p w:rsidR="00000000" w:rsidDel="00000000" w:rsidP="00000000" w:rsidRDefault="00000000" w:rsidRPr="00000000" w14:paraId="00000072">
            <w:pPr>
              <w:pageBreakBefore w:val="0"/>
              <w:tabs>
                <w:tab w:val="left" w:pos="859"/>
              </w:tabs>
              <w:ind w:left="140" w:firstLine="0"/>
              <w:jc w:val="both"/>
              <w:rPr>
                <w:sz w:val="22"/>
                <w:szCs w:val="22"/>
              </w:rPr>
            </w:pPr>
            <w:r w:rsidDel="00000000" w:rsidR="00000000" w:rsidRPr="00000000">
              <w:rPr>
                <w:sz w:val="22"/>
                <w:szCs w:val="22"/>
                <w:rtl w:val="0"/>
              </w:rPr>
              <w:t xml:space="preserve">Week 2</w:t>
            </w:r>
            <w:r w:rsidDel="00000000" w:rsidR="00000000" w:rsidRPr="00000000">
              <w:rPr>
                <w:sz w:val="14"/>
                <w:szCs w:val="14"/>
                <w:rtl w:val="0"/>
              </w:rPr>
              <w:t xml:space="preserve">              </w:t>
            </w:r>
            <w:r w:rsidDel="00000000" w:rsidR="00000000" w:rsidRPr="00000000">
              <w:rPr>
                <w:sz w:val="22"/>
                <w:szCs w:val="22"/>
                <w:rtl w:val="0"/>
              </w:rPr>
              <w:t xml:space="preserve">statistical analysis (urbanisation) – seminar task</w:t>
            </w:r>
          </w:p>
          <w:p w:rsidR="00000000" w:rsidDel="00000000" w:rsidP="00000000" w:rsidRDefault="00000000" w:rsidRPr="00000000" w14:paraId="00000073">
            <w:pPr>
              <w:pageBreakBefore w:val="0"/>
              <w:tabs>
                <w:tab w:val="left" w:pos="859"/>
              </w:tabs>
              <w:ind w:left="140" w:firstLine="0"/>
              <w:jc w:val="both"/>
              <w:rPr>
                <w:sz w:val="22"/>
                <w:szCs w:val="22"/>
              </w:rPr>
            </w:pPr>
            <w:r w:rsidDel="00000000" w:rsidR="00000000" w:rsidRPr="00000000">
              <w:rPr>
                <w:sz w:val="22"/>
                <w:szCs w:val="22"/>
                <w:rtl w:val="0"/>
              </w:rPr>
              <w:t xml:space="preserve">Week 3</w:t>
            </w:r>
            <w:r w:rsidDel="00000000" w:rsidR="00000000" w:rsidRPr="00000000">
              <w:rPr>
                <w:sz w:val="14"/>
                <w:szCs w:val="14"/>
                <w:rtl w:val="0"/>
              </w:rPr>
              <w:t xml:space="preserve">              </w:t>
            </w:r>
            <w:r w:rsidDel="00000000" w:rsidR="00000000" w:rsidRPr="00000000">
              <w:rPr>
                <w:sz w:val="22"/>
                <w:szCs w:val="22"/>
                <w:rtl w:val="0"/>
              </w:rPr>
              <w:t xml:space="preserve">analysing environmental factors – team work</w:t>
            </w:r>
          </w:p>
          <w:p w:rsidR="00000000" w:rsidDel="00000000" w:rsidP="00000000" w:rsidRDefault="00000000" w:rsidRPr="00000000" w14:paraId="00000074">
            <w:pPr>
              <w:pageBreakBefore w:val="0"/>
              <w:tabs>
                <w:tab w:val="left" w:pos="859"/>
              </w:tabs>
              <w:ind w:left="140" w:firstLine="0"/>
              <w:jc w:val="both"/>
              <w:rPr>
                <w:sz w:val="22"/>
                <w:szCs w:val="22"/>
              </w:rPr>
            </w:pPr>
            <w:r w:rsidDel="00000000" w:rsidR="00000000" w:rsidRPr="00000000">
              <w:rPr>
                <w:sz w:val="22"/>
                <w:szCs w:val="22"/>
                <w:rtl w:val="0"/>
              </w:rPr>
              <w:t xml:space="preserve">Week 4</w:t>
            </w:r>
            <w:r w:rsidDel="00000000" w:rsidR="00000000" w:rsidRPr="00000000">
              <w:rPr>
                <w:sz w:val="14"/>
                <w:szCs w:val="14"/>
                <w:rtl w:val="0"/>
              </w:rPr>
              <w:t xml:space="preserve">              </w:t>
            </w:r>
            <w:r w:rsidDel="00000000" w:rsidR="00000000" w:rsidRPr="00000000">
              <w:rPr>
                <w:sz w:val="22"/>
                <w:szCs w:val="22"/>
                <w:rtl w:val="0"/>
              </w:rPr>
              <w:t xml:space="preserve">enclosing catchment areas – team work</w:t>
            </w:r>
          </w:p>
          <w:p w:rsidR="00000000" w:rsidDel="00000000" w:rsidP="00000000" w:rsidRDefault="00000000" w:rsidRPr="00000000" w14:paraId="00000075">
            <w:pPr>
              <w:pageBreakBefore w:val="0"/>
              <w:tabs>
                <w:tab w:val="left" w:pos="859"/>
              </w:tabs>
              <w:ind w:left="140" w:firstLine="0"/>
              <w:jc w:val="both"/>
              <w:rPr>
                <w:sz w:val="22"/>
                <w:szCs w:val="22"/>
              </w:rPr>
            </w:pPr>
            <w:r w:rsidDel="00000000" w:rsidR="00000000" w:rsidRPr="00000000">
              <w:rPr>
                <w:sz w:val="22"/>
                <w:szCs w:val="22"/>
                <w:rtl w:val="0"/>
              </w:rPr>
              <w:t xml:space="preserve">Week 5</w:t>
            </w:r>
            <w:r w:rsidDel="00000000" w:rsidR="00000000" w:rsidRPr="00000000">
              <w:rPr>
                <w:sz w:val="14"/>
                <w:szCs w:val="14"/>
                <w:rtl w:val="0"/>
              </w:rPr>
              <w:t xml:space="preserve">              </w:t>
            </w:r>
            <w:r w:rsidDel="00000000" w:rsidR="00000000" w:rsidRPr="00000000">
              <w:rPr>
                <w:sz w:val="22"/>
                <w:szCs w:val="22"/>
                <w:rtl w:val="0"/>
              </w:rPr>
              <w:t xml:space="preserve">classification of villages – seminar task</w:t>
            </w:r>
          </w:p>
          <w:p w:rsidR="00000000" w:rsidDel="00000000" w:rsidP="00000000" w:rsidRDefault="00000000" w:rsidRPr="00000000" w14:paraId="00000076">
            <w:pPr>
              <w:pageBreakBefore w:val="0"/>
              <w:tabs>
                <w:tab w:val="left" w:pos="859"/>
              </w:tabs>
              <w:ind w:left="140" w:firstLine="0"/>
              <w:jc w:val="both"/>
              <w:rPr>
                <w:sz w:val="22"/>
                <w:szCs w:val="22"/>
              </w:rPr>
            </w:pPr>
            <w:r w:rsidDel="00000000" w:rsidR="00000000" w:rsidRPr="00000000">
              <w:rPr>
                <w:sz w:val="22"/>
                <w:szCs w:val="22"/>
                <w:rtl w:val="0"/>
              </w:rPr>
              <w:t xml:space="preserve">Week 6</w:t>
            </w:r>
            <w:r w:rsidDel="00000000" w:rsidR="00000000" w:rsidRPr="00000000">
              <w:rPr>
                <w:sz w:val="14"/>
                <w:szCs w:val="14"/>
                <w:rtl w:val="0"/>
              </w:rPr>
              <w:t xml:space="preserve">              </w:t>
            </w:r>
            <w:r w:rsidDel="00000000" w:rsidR="00000000" w:rsidRPr="00000000">
              <w:rPr>
                <w:sz w:val="22"/>
                <w:szCs w:val="22"/>
                <w:rtl w:val="0"/>
              </w:rPr>
              <w:t xml:space="preserve">individual reading and report</w:t>
            </w:r>
          </w:p>
          <w:p w:rsidR="00000000" w:rsidDel="00000000" w:rsidP="00000000" w:rsidRDefault="00000000" w:rsidRPr="00000000" w14:paraId="00000077">
            <w:pPr>
              <w:pageBreakBefore w:val="0"/>
              <w:tabs>
                <w:tab w:val="left" w:pos="859"/>
              </w:tabs>
              <w:ind w:left="140" w:firstLine="0"/>
              <w:jc w:val="both"/>
              <w:rPr>
                <w:sz w:val="22"/>
                <w:szCs w:val="22"/>
              </w:rPr>
            </w:pPr>
            <w:r w:rsidDel="00000000" w:rsidR="00000000" w:rsidRPr="00000000">
              <w:rPr>
                <w:sz w:val="22"/>
                <w:szCs w:val="22"/>
                <w:rtl w:val="0"/>
              </w:rPr>
              <w:t xml:space="preserve">Week 7</w:t>
            </w:r>
            <w:r w:rsidDel="00000000" w:rsidR="00000000" w:rsidRPr="00000000">
              <w:rPr>
                <w:sz w:val="14"/>
                <w:szCs w:val="14"/>
                <w:rtl w:val="0"/>
              </w:rPr>
              <w:t xml:space="preserve">              </w:t>
            </w:r>
            <w:r w:rsidDel="00000000" w:rsidR="00000000" w:rsidRPr="00000000">
              <w:rPr>
                <w:sz w:val="22"/>
                <w:szCs w:val="22"/>
                <w:rtl w:val="0"/>
              </w:rPr>
              <w:t xml:space="preserve">Team work, source analysis, history of a city’s development</w:t>
            </w:r>
          </w:p>
          <w:p w:rsidR="00000000" w:rsidDel="00000000" w:rsidP="00000000" w:rsidRDefault="00000000" w:rsidRPr="00000000" w14:paraId="00000078">
            <w:pPr>
              <w:pageBreakBefore w:val="0"/>
              <w:tabs>
                <w:tab w:val="left" w:pos="859"/>
              </w:tabs>
              <w:ind w:left="140" w:firstLine="0"/>
              <w:jc w:val="both"/>
              <w:rPr>
                <w:sz w:val="22"/>
                <w:szCs w:val="22"/>
              </w:rPr>
            </w:pPr>
            <w:r w:rsidDel="00000000" w:rsidR="00000000" w:rsidRPr="00000000">
              <w:rPr>
                <w:sz w:val="22"/>
                <w:szCs w:val="22"/>
                <w:rtl w:val="0"/>
              </w:rPr>
              <w:t xml:space="preserve">Week 8</w:t>
            </w:r>
            <w:r w:rsidDel="00000000" w:rsidR="00000000" w:rsidRPr="00000000">
              <w:rPr>
                <w:sz w:val="14"/>
                <w:szCs w:val="14"/>
                <w:rtl w:val="0"/>
              </w:rPr>
              <w:t xml:space="preserve">              </w:t>
            </w:r>
            <w:r w:rsidDel="00000000" w:rsidR="00000000" w:rsidRPr="00000000">
              <w:rPr>
                <w:sz w:val="22"/>
                <w:szCs w:val="22"/>
                <w:rtl w:val="0"/>
              </w:rPr>
              <w:t xml:space="preserve">–</w:t>
            </w:r>
          </w:p>
          <w:p w:rsidR="00000000" w:rsidDel="00000000" w:rsidP="00000000" w:rsidRDefault="00000000" w:rsidRPr="00000000" w14:paraId="00000079">
            <w:pPr>
              <w:pageBreakBefore w:val="0"/>
              <w:tabs>
                <w:tab w:val="left" w:pos="859"/>
              </w:tabs>
              <w:ind w:left="140" w:firstLine="0"/>
              <w:jc w:val="both"/>
              <w:rPr>
                <w:sz w:val="22"/>
                <w:szCs w:val="22"/>
              </w:rPr>
            </w:pPr>
            <w:r w:rsidDel="00000000" w:rsidR="00000000" w:rsidRPr="00000000">
              <w:rPr>
                <w:sz w:val="22"/>
                <w:szCs w:val="22"/>
                <w:rtl w:val="0"/>
              </w:rPr>
              <w:t xml:space="preserve">Week 9</w:t>
            </w:r>
            <w:r w:rsidDel="00000000" w:rsidR="00000000" w:rsidRPr="00000000">
              <w:rPr>
                <w:sz w:val="14"/>
                <w:szCs w:val="14"/>
                <w:rtl w:val="0"/>
              </w:rPr>
              <w:t xml:space="preserve">              </w:t>
            </w:r>
            <w:r w:rsidDel="00000000" w:rsidR="00000000" w:rsidRPr="00000000">
              <w:rPr>
                <w:sz w:val="22"/>
                <w:szCs w:val="22"/>
                <w:rtl w:val="0"/>
              </w:rPr>
              <w:t xml:space="preserve">–</w:t>
            </w:r>
          </w:p>
          <w:p w:rsidR="00000000" w:rsidDel="00000000" w:rsidP="00000000" w:rsidRDefault="00000000" w:rsidRPr="00000000" w14:paraId="0000007A">
            <w:pPr>
              <w:pageBreakBefore w:val="0"/>
              <w:tabs>
                <w:tab w:val="left" w:pos="859"/>
              </w:tabs>
              <w:ind w:left="140" w:firstLine="0"/>
              <w:jc w:val="both"/>
              <w:rPr>
                <w:sz w:val="22"/>
                <w:szCs w:val="22"/>
              </w:rPr>
            </w:pPr>
            <w:r w:rsidDel="00000000" w:rsidR="00000000" w:rsidRPr="00000000">
              <w:rPr>
                <w:sz w:val="22"/>
                <w:szCs w:val="22"/>
                <w:rtl w:val="0"/>
              </w:rPr>
              <w:t xml:space="preserve">Week 10</w:t>
            </w:r>
            <w:r w:rsidDel="00000000" w:rsidR="00000000" w:rsidRPr="00000000">
              <w:rPr>
                <w:sz w:val="14"/>
                <w:szCs w:val="14"/>
                <w:rtl w:val="0"/>
              </w:rPr>
              <w:t xml:space="preserve">           </w:t>
            </w:r>
            <w:r w:rsidDel="00000000" w:rsidR="00000000" w:rsidRPr="00000000">
              <w:rPr>
                <w:sz w:val="22"/>
                <w:szCs w:val="22"/>
                <w:rtl w:val="0"/>
              </w:rPr>
              <w:t xml:space="preserve">Individual reading and report</w:t>
            </w:r>
          </w:p>
          <w:p w:rsidR="00000000" w:rsidDel="00000000" w:rsidP="00000000" w:rsidRDefault="00000000" w:rsidRPr="00000000" w14:paraId="0000007B">
            <w:pPr>
              <w:pageBreakBefore w:val="0"/>
              <w:tabs>
                <w:tab w:val="left" w:pos="859"/>
              </w:tabs>
              <w:ind w:left="140" w:firstLine="0"/>
              <w:jc w:val="both"/>
              <w:rPr>
                <w:sz w:val="22"/>
                <w:szCs w:val="22"/>
              </w:rPr>
            </w:pPr>
            <w:r w:rsidDel="00000000" w:rsidR="00000000" w:rsidRPr="00000000">
              <w:rPr>
                <w:sz w:val="22"/>
                <w:szCs w:val="22"/>
                <w:rtl w:val="0"/>
              </w:rPr>
              <w:t xml:space="preserve">Week 11</w:t>
            </w:r>
            <w:r w:rsidDel="00000000" w:rsidR="00000000" w:rsidRPr="00000000">
              <w:rPr>
                <w:sz w:val="14"/>
                <w:szCs w:val="14"/>
                <w:rtl w:val="0"/>
              </w:rPr>
              <w:t xml:space="preserve">           </w:t>
            </w:r>
            <w:r w:rsidDel="00000000" w:rsidR="00000000" w:rsidRPr="00000000">
              <w:rPr>
                <w:sz w:val="22"/>
                <w:szCs w:val="22"/>
                <w:rtl w:val="0"/>
              </w:rPr>
              <w:t xml:space="preserve">Team work: evaluating global rank &amp; position of given cities</w:t>
            </w:r>
          </w:p>
          <w:p w:rsidR="00000000" w:rsidDel="00000000" w:rsidP="00000000" w:rsidRDefault="00000000" w:rsidRPr="00000000" w14:paraId="0000007C">
            <w:pPr>
              <w:pageBreakBefore w:val="0"/>
              <w:tabs>
                <w:tab w:val="left" w:pos="859"/>
              </w:tabs>
              <w:ind w:left="140" w:firstLine="0"/>
              <w:jc w:val="both"/>
              <w:rPr>
                <w:sz w:val="22"/>
                <w:szCs w:val="22"/>
              </w:rPr>
            </w:pPr>
            <w:r w:rsidDel="00000000" w:rsidR="00000000" w:rsidRPr="00000000">
              <w:rPr>
                <w:sz w:val="22"/>
                <w:szCs w:val="22"/>
                <w:rtl w:val="0"/>
              </w:rPr>
              <w:t xml:space="preserve">Week 12</w:t>
            </w:r>
            <w:r w:rsidDel="00000000" w:rsidR="00000000" w:rsidRPr="00000000">
              <w:rPr>
                <w:sz w:val="14"/>
                <w:szCs w:val="14"/>
                <w:rtl w:val="0"/>
              </w:rPr>
              <w:t xml:space="preserve">           </w:t>
            </w:r>
            <w:r w:rsidDel="00000000" w:rsidR="00000000" w:rsidRPr="00000000">
              <w:rPr>
                <w:sz w:val="22"/>
                <w:szCs w:val="22"/>
                <w:rtl w:val="0"/>
              </w:rPr>
              <w:t xml:space="preserve">–</w:t>
            </w:r>
          </w:p>
          <w:p w:rsidR="00000000" w:rsidDel="00000000" w:rsidP="00000000" w:rsidRDefault="00000000" w:rsidRPr="00000000" w14:paraId="0000007D">
            <w:pPr>
              <w:pageBreakBefore w:val="0"/>
              <w:tabs>
                <w:tab w:val="left" w:pos="859"/>
              </w:tabs>
              <w:ind w:left="140" w:firstLine="0"/>
              <w:jc w:val="both"/>
              <w:rPr>
                <w:sz w:val="22"/>
                <w:szCs w:val="22"/>
              </w:rPr>
            </w:pPr>
            <w:r w:rsidDel="00000000" w:rsidR="00000000" w:rsidRPr="00000000">
              <w:rPr>
                <w:sz w:val="22"/>
                <w:szCs w:val="22"/>
                <w:rtl w:val="0"/>
              </w:rPr>
              <w:t xml:space="preserve">Week 13</w:t>
            </w:r>
            <w:r w:rsidDel="00000000" w:rsidR="00000000" w:rsidRPr="00000000">
              <w:rPr>
                <w:sz w:val="14"/>
                <w:szCs w:val="14"/>
                <w:rtl w:val="0"/>
              </w:rPr>
              <w:t xml:space="preserve">           </w:t>
            </w:r>
            <w:r w:rsidDel="00000000" w:rsidR="00000000" w:rsidRPr="00000000">
              <w:rPr>
                <w:sz w:val="22"/>
                <w:szCs w:val="22"/>
                <w:rtl w:val="0"/>
              </w:rPr>
              <w:t xml:space="preserve">Presentations about the field work</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83">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84">
            <w:pPr>
              <w:pageBreakBefore w:val="0"/>
              <w:ind w:left="140" w:firstLine="0"/>
              <w:rPr/>
            </w:pPr>
            <w:r w:rsidDel="00000000" w:rsidR="00000000" w:rsidRPr="00000000">
              <w:rPr>
                <w:rtl w:val="0"/>
              </w:rPr>
              <w:t xml:space="preserve">Evaluation is based on the individual performance in the seminar and in the final oral exam. The components are weighted with 40% (seminar) and 60% (oral exam). The seminary work will be evaluated as following:</w:t>
            </w:r>
          </w:p>
          <w:p w:rsidR="00000000" w:rsidDel="00000000" w:rsidP="00000000" w:rsidRDefault="00000000" w:rsidRPr="00000000" w14:paraId="00000085">
            <w:pPr>
              <w:pageBreakBefore w:val="0"/>
              <w:ind w:left="140" w:firstLine="0"/>
              <w:rPr/>
            </w:pPr>
            <w:r w:rsidDel="00000000" w:rsidR="00000000" w:rsidRPr="00000000">
              <w:rPr>
                <w:rtl w:val="0"/>
              </w:rPr>
              <w:t xml:space="preserve">individual and team work in seminars: 30%</w:t>
            </w:r>
          </w:p>
          <w:p w:rsidR="00000000" w:rsidDel="00000000" w:rsidP="00000000" w:rsidRDefault="00000000" w:rsidRPr="00000000" w14:paraId="00000086">
            <w:pPr>
              <w:pageBreakBefore w:val="0"/>
              <w:ind w:left="140" w:firstLine="0"/>
              <w:rPr/>
            </w:pPr>
            <w:r w:rsidDel="00000000" w:rsidR="00000000" w:rsidRPr="00000000">
              <w:rPr>
                <w:rtl w:val="0"/>
              </w:rPr>
              <w:t xml:space="preserve">field work 30%</w:t>
            </w:r>
          </w:p>
          <w:p w:rsidR="00000000" w:rsidDel="00000000" w:rsidP="00000000" w:rsidRDefault="00000000" w:rsidRPr="00000000" w14:paraId="00000087">
            <w:pPr>
              <w:pageBreakBefore w:val="0"/>
              <w:ind w:left="140" w:firstLine="0"/>
              <w:rPr/>
            </w:pPr>
            <w:r w:rsidDel="00000000" w:rsidR="00000000" w:rsidRPr="00000000">
              <w:rPr>
                <w:rtl w:val="0"/>
              </w:rPr>
              <w:t xml:space="preserve">essay 40%</w:t>
            </w:r>
          </w:p>
          <w:p w:rsidR="00000000" w:rsidDel="00000000" w:rsidP="00000000" w:rsidRDefault="00000000" w:rsidRPr="00000000" w14:paraId="00000088">
            <w:pPr>
              <w:pageBreakBefore w:val="0"/>
              <w:ind w:left="140" w:firstLine="0"/>
              <w:rPr/>
            </w:pPr>
            <w:r w:rsidDel="00000000" w:rsidR="00000000" w:rsidRPr="00000000">
              <w:rPr>
                <w:rtl w:val="0"/>
              </w:rPr>
              <w:t xml:space="preserve"> </w:t>
            </w:r>
          </w:p>
          <w:p w:rsidR="00000000" w:rsidDel="00000000" w:rsidP="00000000" w:rsidRDefault="00000000" w:rsidRPr="00000000" w14:paraId="00000089">
            <w:pPr>
              <w:pageBreakBefore w:val="0"/>
              <w:ind w:left="140" w:firstLine="0"/>
              <w:rPr/>
            </w:pPr>
            <w:r w:rsidDel="00000000" w:rsidR="00000000" w:rsidRPr="00000000">
              <w:rPr>
                <w:rtl w:val="0"/>
              </w:rPr>
              <w:t xml:space="preserve">During the semester an essay need to be written by each student individually with a length of 15-18,000 characters. The topic is one problem related with urban or rural development (listed by the instructors), and how it is appears in a specific settlement (can be chosen individually). Essay need to prepared by full regards of the formal prescriptions of a scientific paper, including structure, citations and references, data and illustrations. The evaluation of the content of the essay is an element of the oral exam.</w:t>
            </w:r>
          </w:p>
          <w:p w:rsidR="00000000" w:rsidDel="00000000" w:rsidP="00000000" w:rsidRDefault="00000000" w:rsidRPr="00000000" w14:paraId="0000008A">
            <w:pPr>
              <w:pageBreakBefore w:val="0"/>
              <w:ind w:left="140" w:firstLine="0"/>
              <w:rPr/>
            </w:pPr>
            <w:r w:rsidDel="00000000" w:rsidR="00000000" w:rsidRPr="00000000">
              <w:rPr>
                <w:rtl w:val="0"/>
              </w:rPr>
              <w:t xml:space="preserve">The final mark for the course will be given by the instructor on the oral exam, regarding all the performances listed above. The students cannot be evaluated, if:</w:t>
            </w:r>
          </w:p>
          <w:p w:rsidR="00000000" w:rsidDel="00000000" w:rsidP="00000000" w:rsidRDefault="00000000" w:rsidRPr="00000000" w14:paraId="0000008B">
            <w:pPr>
              <w:pageBreakBefore w:val="0"/>
              <w:ind w:left="122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does not takes part in seminary and on field work / misses more occasion as allowed by the regulations</w:t>
            </w:r>
          </w:p>
          <w:p w:rsidR="00000000" w:rsidDel="00000000" w:rsidP="00000000" w:rsidRDefault="00000000" w:rsidRPr="00000000" w14:paraId="0000008C">
            <w:pPr>
              <w:pageBreakBefore w:val="0"/>
              <w:ind w:left="122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he/she does not takes part in team works, his/her contribution is irrelevant, extremely poor</w:t>
            </w:r>
          </w:p>
          <w:p w:rsidR="00000000" w:rsidDel="00000000" w:rsidP="00000000" w:rsidRDefault="00000000" w:rsidRPr="00000000" w14:paraId="0000008D">
            <w:pPr>
              <w:pageBreakBefore w:val="0"/>
              <w:ind w:left="122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does not upload her/his essay in time and/or it is invaluable in formal reasons</w:t>
            </w:r>
          </w:p>
          <w:p w:rsidR="00000000" w:rsidDel="00000000" w:rsidP="00000000" w:rsidRDefault="00000000" w:rsidRPr="00000000" w14:paraId="0000008E">
            <w:pPr>
              <w:pageBreakBefore w:val="0"/>
              <w:ind w:left="122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His/her seminar performance does not reach 40%</w:t>
            </w:r>
          </w:p>
          <w:p w:rsidR="00000000" w:rsidDel="00000000" w:rsidP="00000000" w:rsidRDefault="00000000" w:rsidRPr="00000000" w14:paraId="0000008F">
            <w:pPr>
              <w:pageBreakBefore w:val="0"/>
              <w:ind w:left="140" w:firstLine="0"/>
              <w:rPr/>
            </w:pPr>
            <w:r w:rsidDel="00000000" w:rsidR="00000000" w:rsidRPr="00000000">
              <w:rPr>
                <w:rtl w:val="0"/>
              </w:rPr>
              <w:t xml:space="preserve">In last two cases one occasion for correction will be ensured. </w:t>
            </w:r>
          </w:p>
          <w:p w:rsidR="00000000" w:rsidDel="00000000" w:rsidP="00000000" w:rsidRDefault="00000000" w:rsidRPr="00000000" w14:paraId="00000090">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96">
            <w:pPr>
              <w:pageBreakBefore w:val="0"/>
              <w:numPr>
                <w:ilvl w:val="0"/>
                <w:numId w:val="1"/>
              </w:numPr>
              <w:ind w:left="720" w:hanging="360"/>
              <w:rPr/>
            </w:pPr>
            <w:r w:rsidDel="00000000" w:rsidR="00000000" w:rsidRPr="00000000">
              <w:rPr>
                <w:rFonts w:ascii="Cambria" w:cs="Cambria" w:eastAsia="Cambria" w:hAnsi="Cambria"/>
                <w:sz w:val="22"/>
                <w:szCs w:val="22"/>
                <w:rtl w:val="0"/>
              </w:rPr>
              <w:t xml:space="preserve">Pacione, M. 2009: Urban Geography: A Global Perspective. Routledge, 744 p.</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9C">
            <w:pPr>
              <w:pageBreakBefore w:val="0"/>
              <w:ind w:left="1132" w:hanging="855"/>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Hall, T. 2012: Urban geography. Routledge contemporary human geography series ; 7. Vol. 366 p.</w:t>
            </w:r>
          </w:p>
          <w:p w:rsidR="00000000" w:rsidDel="00000000" w:rsidP="00000000" w:rsidRDefault="00000000" w:rsidRPr="00000000" w14:paraId="0000009D">
            <w:pPr>
              <w:pageBreakBefore w:val="0"/>
              <w:ind w:left="1132" w:hanging="855"/>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Griffith, T. 2009: Urban geography : a study of site, evolution, pattern and classification in villages, towns and cities. London ; New York : Routledge 439 p.</w:t>
            </w:r>
          </w:p>
          <w:p w:rsidR="00000000" w:rsidDel="00000000" w:rsidP="00000000" w:rsidRDefault="00000000" w:rsidRPr="00000000" w14:paraId="0000009E">
            <w:pPr>
              <w:pageBreakBefore w:val="0"/>
              <w:ind w:left="1132" w:hanging="855"/>
              <w:jc w:val="both"/>
              <w:rPr>
                <w:rFonts w:ascii="Cambria" w:cs="Cambria" w:eastAsia="Cambria" w:hAnsi="Cambria"/>
                <w:b w:val="1"/>
                <w:sz w:val="22"/>
                <w:szCs w:val="22"/>
              </w:rPr>
            </w:pPr>
            <w:r w:rsidDel="00000000" w:rsidR="00000000" w:rsidRPr="00000000">
              <w:rPr>
                <w:rFonts w:ascii="Cambria" w:cs="Cambria" w:eastAsia="Cambria" w:hAnsi="Cambria"/>
                <w:sz w:val="22"/>
                <w:szCs w:val="22"/>
                <w:rtl w:val="0"/>
              </w:rPr>
              <w:t xml:space="preserve">[3]   Knox, P. 2000: Urban social geography : An introduction. Prentice Hall : Pearson Education, 479 p.</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A4">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A5">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A6">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A7">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AB">
            <w:pPr>
              <w:pageBreakBefore w:val="0"/>
              <w:rPr>
                <w:b w:val="1"/>
              </w:rPr>
            </w:pPr>
            <w:r w:rsidDel="00000000" w:rsidR="00000000" w:rsidRPr="00000000">
              <w:rPr>
                <w:rtl w:val="0"/>
              </w:rPr>
            </w:r>
          </w:p>
          <w:p w:rsidR="00000000" w:rsidDel="00000000" w:rsidP="00000000" w:rsidRDefault="00000000" w:rsidRPr="00000000" w14:paraId="000000AC">
            <w:pPr>
              <w:pageBreakBefore w:val="0"/>
              <w:rPr/>
            </w:pPr>
            <w:r w:rsidDel="00000000" w:rsidR="00000000" w:rsidRPr="00000000">
              <w:rPr>
                <w:rtl w:val="0"/>
              </w:rPr>
            </w:r>
          </w:p>
          <w:p w:rsidR="00000000" w:rsidDel="00000000" w:rsidP="00000000" w:rsidRDefault="00000000" w:rsidRPr="00000000" w14:paraId="000000AD">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AE">
            <w:pPr>
              <w:pageBreakBefore w:val="0"/>
              <w:jc w:val="center"/>
              <w:rPr/>
            </w:pPr>
            <w:r w:rsidDel="00000000" w:rsidR="00000000" w:rsidRPr="00000000">
              <w:rPr>
                <w:rtl w:val="0"/>
              </w:rPr>
              <w:t xml:space="preserve">Gábor PIRISI PhD</w:t>
            </w:r>
          </w:p>
          <w:p w:rsidR="00000000" w:rsidDel="00000000" w:rsidP="00000000" w:rsidRDefault="00000000" w:rsidRPr="00000000" w14:paraId="000000AF">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B1">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B4">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B6">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B9">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BB">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BD">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B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BF">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